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center"/>
        <w:rPr>
          <w:b/>
          <w:sz w:val="28"/>
          <w:szCs w:val="30"/>
        </w:rPr>
      </w:pPr>
    </w:p>
    <w:p>
      <w:pPr>
        <w:widowControl/>
        <w:snapToGrid w:val="0"/>
        <w:spacing w:line="480" w:lineRule="exact"/>
        <w:jc w:val="center"/>
        <w:rPr>
          <w:rFonts w:ascii="方正小标宋简体" w:hAnsi="宋体"/>
          <w:bCs/>
          <w:kern w:val="0"/>
          <w:sz w:val="40"/>
          <w:szCs w:val="40"/>
        </w:rPr>
      </w:pPr>
      <w:r>
        <w:rPr>
          <w:rFonts w:hint="eastAsia"/>
          <w:b/>
          <w:sz w:val="28"/>
          <w:szCs w:val="30"/>
        </w:rPr>
        <w:t>【护理管理】</w:t>
      </w:r>
    </w:p>
    <w:p>
      <w:pPr>
        <w:shd w:val="clear" w:color="auto" w:fill="F5F5F5"/>
        <w:jc w:val="center"/>
        <w:textAlignment w:val="top"/>
        <w:rPr>
          <w:rFonts w:ascii="Arial" w:hAnsi="Arial" w:cs="Arial"/>
          <w:color w:val="888888"/>
          <w:kern w:val="0"/>
          <w:sz w:val="20"/>
          <w:szCs w:val="20"/>
        </w:rPr>
      </w:pPr>
      <w:r>
        <w:rPr>
          <w:rFonts w:hint="eastAsia" w:ascii="Times New Roman" w:hAnsi="Times New Roman"/>
          <w:b/>
          <w:sz w:val="28"/>
          <w:szCs w:val="30"/>
        </w:rPr>
        <w:t>【</w:t>
      </w:r>
      <w:r>
        <w:rPr>
          <w:rFonts w:ascii="Times New Roman" w:hAnsi="Times New Roman"/>
          <w:b/>
          <w:sz w:val="28"/>
          <w:szCs w:val="30"/>
        </w:rPr>
        <w:t>Nursing  Management</w:t>
      </w:r>
      <w:bookmarkStart w:id="0" w:name="a2"/>
      <w:bookmarkEnd w:id="0"/>
      <w:r>
        <w:rPr>
          <w:rFonts w:hint="eastAsia" w:ascii="Times New Roman" w:hAnsi="Times New Roman"/>
          <w:b/>
          <w:sz w:val="28"/>
          <w:szCs w:val="30"/>
        </w:rPr>
        <w:t>】</w:t>
      </w:r>
    </w:p>
    <w:p>
      <w:pPr>
        <w:spacing w:before="156" w:beforeLines="50" w:after="156" w:afterLines="50" w:line="288" w:lineRule="auto"/>
        <w:ind w:firstLine="360" w:firstLineChars="150"/>
        <w:rPr>
          <w:b/>
          <w:color w:val="008080"/>
          <w:sz w:val="30"/>
          <w:szCs w:val="30"/>
        </w:rPr>
      </w:pPr>
      <w:r>
        <w:rPr>
          <w:rFonts w:hint="eastAsia" w:ascii="黑体" w:hAnsi="宋体" w:eastAsia="黑体"/>
          <w:sz w:val="24"/>
        </w:rPr>
        <w:t>一、基本信息</w:t>
      </w:r>
    </w:p>
    <w:p>
      <w:pPr>
        <w:snapToGrid w:val="0"/>
        <w:spacing w:line="288" w:lineRule="auto"/>
        <w:ind w:firstLine="394" w:firstLineChars="196"/>
        <w:rPr>
          <w:color w:val="000000"/>
          <w:sz w:val="20"/>
          <w:szCs w:val="20"/>
        </w:rPr>
      </w:pPr>
      <w:r>
        <w:rPr>
          <w:rFonts w:hint="eastAsia"/>
          <w:b/>
          <w:bCs/>
          <w:color w:val="000000"/>
          <w:sz w:val="20"/>
          <w:szCs w:val="20"/>
        </w:rPr>
        <w:t>课程代码：</w:t>
      </w:r>
      <w:r>
        <w:rPr>
          <w:rFonts w:hint="eastAsia"/>
          <w:color w:val="000000"/>
          <w:sz w:val="20"/>
          <w:szCs w:val="20"/>
        </w:rPr>
        <w:t>【</w:t>
      </w:r>
      <w:r>
        <w:rPr>
          <w:rFonts w:ascii="宋体" w:hAnsi="宋体"/>
          <w:szCs w:val="21"/>
        </w:rPr>
        <w:t>0010055</w:t>
      </w:r>
      <w:r>
        <w:rPr>
          <w:rFonts w:hint="eastAsia"/>
          <w:color w:val="000000"/>
          <w:sz w:val="20"/>
          <w:szCs w:val="20"/>
        </w:rPr>
        <w:t>】</w:t>
      </w:r>
    </w:p>
    <w:p>
      <w:pPr>
        <w:snapToGrid w:val="0"/>
        <w:spacing w:line="288" w:lineRule="auto"/>
        <w:ind w:firstLine="394" w:firstLineChars="196"/>
        <w:rPr>
          <w:rFonts w:ascii="宋体" w:hAnsi="宋体"/>
          <w:szCs w:val="21"/>
        </w:rPr>
      </w:pPr>
      <w:r>
        <w:rPr>
          <w:rFonts w:hint="eastAsia"/>
          <w:b/>
          <w:bCs/>
          <w:color w:val="000000"/>
          <w:sz w:val="20"/>
          <w:szCs w:val="20"/>
        </w:rPr>
        <w:t>课程学分：</w:t>
      </w:r>
      <w:r>
        <w:rPr>
          <w:rFonts w:hint="eastAsia"/>
          <w:color w:val="000000"/>
          <w:sz w:val="20"/>
          <w:szCs w:val="20"/>
        </w:rPr>
        <w:t>【</w:t>
      </w:r>
      <w:r>
        <w:rPr>
          <w:rFonts w:hint="eastAsia" w:ascii="宋体" w:hAnsi="宋体"/>
          <w:szCs w:val="21"/>
        </w:rPr>
        <w:t>1.0</w:t>
      </w:r>
      <w:r>
        <w:rPr>
          <w:rFonts w:hint="eastAsia"/>
          <w:color w:val="000000"/>
          <w:sz w:val="20"/>
          <w:szCs w:val="20"/>
        </w:rPr>
        <w:t>】</w:t>
      </w:r>
    </w:p>
    <w:p>
      <w:pPr>
        <w:snapToGrid w:val="0"/>
        <w:spacing w:line="288" w:lineRule="auto"/>
        <w:ind w:firstLine="394" w:firstLineChars="196"/>
        <w:rPr>
          <w:color w:val="000000"/>
          <w:szCs w:val="21"/>
        </w:rPr>
      </w:pPr>
      <w:r>
        <w:rPr>
          <w:rFonts w:hint="eastAsia"/>
          <w:b/>
          <w:bCs/>
          <w:color w:val="000000"/>
          <w:sz w:val="20"/>
          <w:szCs w:val="20"/>
        </w:rPr>
        <w:t>面向专业：</w:t>
      </w:r>
      <w:r>
        <w:rPr>
          <w:rFonts w:hint="eastAsia"/>
          <w:color w:val="000000"/>
          <w:sz w:val="20"/>
          <w:szCs w:val="20"/>
        </w:rPr>
        <w:t>【护理】</w:t>
      </w:r>
    </w:p>
    <w:p>
      <w:pPr>
        <w:snapToGrid w:val="0"/>
        <w:spacing w:line="288" w:lineRule="auto"/>
        <w:ind w:firstLine="394" w:firstLineChars="196"/>
        <w:rPr>
          <w:color w:val="000000"/>
          <w:sz w:val="20"/>
          <w:szCs w:val="20"/>
        </w:rPr>
      </w:pPr>
      <w:r>
        <w:rPr>
          <w:rFonts w:hint="eastAsia"/>
          <w:b/>
          <w:bCs/>
          <w:color w:val="000000"/>
          <w:sz w:val="20"/>
          <w:szCs w:val="20"/>
        </w:rPr>
        <w:t>课程性质：</w:t>
      </w:r>
      <w:r>
        <w:rPr>
          <w:rFonts w:hint="eastAsia"/>
          <w:color w:val="000000"/>
          <w:sz w:val="20"/>
          <w:szCs w:val="20"/>
        </w:rPr>
        <w:t>【系级必修课】</w:t>
      </w:r>
    </w:p>
    <w:p>
      <w:pPr>
        <w:snapToGrid w:val="0"/>
        <w:spacing w:line="288" w:lineRule="auto"/>
        <w:ind w:firstLine="394" w:firstLineChars="196"/>
        <w:rPr>
          <w:b/>
          <w:bCs/>
          <w:color w:val="000000"/>
          <w:szCs w:val="21"/>
        </w:rPr>
      </w:pPr>
      <w:r>
        <w:rPr>
          <w:rFonts w:hint="eastAsia"/>
          <w:b/>
          <w:bCs/>
          <w:color w:val="000000"/>
          <w:sz w:val="20"/>
          <w:szCs w:val="20"/>
        </w:rPr>
        <w:t>开课院系：</w:t>
      </w:r>
      <w:r>
        <w:rPr>
          <w:rFonts w:hint="eastAsia" w:ascii="Times New Roman" w:hAnsi="Times New Roman"/>
          <w:bCs/>
          <w:color w:val="000000"/>
          <w:sz w:val="20"/>
          <w:szCs w:val="20"/>
        </w:rPr>
        <w:t>健康管理学院护理系</w:t>
      </w:r>
    </w:p>
    <w:p>
      <w:pPr>
        <w:snapToGrid w:val="0"/>
        <w:spacing w:line="288" w:lineRule="auto"/>
        <w:ind w:firstLine="394" w:firstLineChars="196"/>
        <w:rPr>
          <w:color w:val="000000"/>
          <w:sz w:val="20"/>
          <w:szCs w:val="20"/>
        </w:rPr>
      </w:pPr>
      <w:r>
        <w:rPr>
          <w:rFonts w:hint="eastAsia"/>
          <w:b/>
          <w:bCs/>
          <w:color w:val="000000"/>
          <w:sz w:val="20"/>
          <w:szCs w:val="20"/>
        </w:rPr>
        <w:t>使用教材：</w:t>
      </w:r>
    </w:p>
    <w:p>
      <w:pPr>
        <w:snapToGrid w:val="0"/>
        <w:spacing w:line="288" w:lineRule="auto"/>
        <w:ind w:firstLine="400" w:firstLineChars="200"/>
        <w:rPr>
          <w:color w:val="000000"/>
          <w:szCs w:val="21"/>
        </w:rPr>
      </w:pPr>
      <w:r>
        <w:rPr>
          <w:rFonts w:hint="eastAsia"/>
          <w:color w:val="000000"/>
          <w:sz w:val="20"/>
          <w:szCs w:val="20"/>
        </w:rPr>
        <w:t>教材【《护理管理》主编：周更苏，白建英，出版社：人民卫生出版社，2016】</w:t>
      </w:r>
    </w:p>
    <w:p>
      <w:pPr>
        <w:adjustRightInd w:val="0"/>
        <w:snapToGrid w:val="0"/>
        <w:spacing w:line="288" w:lineRule="auto"/>
        <w:ind w:firstLine="400" w:firstLineChars="200"/>
        <w:rPr>
          <w:color w:val="000000"/>
          <w:sz w:val="20"/>
          <w:szCs w:val="20"/>
        </w:rPr>
      </w:pPr>
      <w:r>
        <w:rPr>
          <w:rFonts w:hint="eastAsia"/>
          <w:color w:val="000000"/>
          <w:sz w:val="20"/>
          <w:szCs w:val="20"/>
        </w:rPr>
        <w:t>参考书目【《护理管理学学习指导与习题集》主编：胡艳宁，北京：人民卫生出版社，2012</w:t>
      </w:r>
    </w:p>
    <w:p>
      <w:pPr>
        <w:adjustRightInd w:val="0"/>
        <w:snapToGrid w:val="0"/>
        <w:spacing w:line="288" w:lineRule="auto"/>
        <w:ind w:firstLine="400" w:firstLineChars="200"/>
        <w:rPr>
          <w:color w:val="000000"/>
          <w:sz w:val="20"/>
          <w:szCs w:val="20"/>
        </w:rPr>
      </w:pPr>
      <w:r>
        <w:rPr>
          <w:rFonts w:hint="eastAsia"/>
          <w:color w:val="000000"/>
          <w:sz w:val="20"/>
          <w:szCs w:val="20"/>
        </w:rPr>
        <w:t>《护理管理学学习指导及习题集》主编：李继平，北京：人民卫生出版社，2006</w:t>
      </w:r>
    </w:p>
    <w:p>
      <w:pPr>
        <w:adjustRightInd w:val="0"/>
        <w:snapToGrid w:val="0"/>
        <w:spacing w:line="288" w:lineRule="auto"/>
        <w:ind w:firstLine="400" w:firstLineChars="200"/>
        <w:rPr>
          <w:color w:val="000000"/>
          <w:sz w:val="20"/>
          <w:szCs w:val="20"/>
        </w:rPr>
      </w:pPr>
      <w:r>
        <w:rPr>
          <w:rFonts w:hint="eastAsia"/>
          <w:color w:val="000000"/>
          <w:sz w:val="20"/>
          <w:szCs w:val="20"/>
        </w:rPr>
        <w:t>《护理管理案例精粹》主编：刘华平，李红，北京：人民卫生出版社，2015</w:t>
      </w:r>
    </w:p>
    <w:p>
      <w:pPr>
        <w:adjustRightInd w:val="0"/>
        <w:snapToGrid w:val="0"/>
        <w:spacing w:line="288" w:lineRule="auto"/>
        <w:ind w:firstLine="400" w:firstLineChars="200"/>
        <w:rPr>
          <w:color w:val="000000"/>
          <w:sz w:val="20"/>
          <w:szCs w:val="20"/>
        </w:rPr>
      </w:pPr>
      <w:r>
        <w:rPr>
          <w:rFonts w:hint="eastAsia"/>
          <w:color w:val="000000"/>
          <w:sz w:val="20"/>
          <w:szCs w:val="20"/>
        </w:rPr>
        <w:t>《护理管理学》主编：李继平，北京：人民卫生出版社，2006】</w:t>
      </w:r>
    </w:p>
    <w:p>
      <w:pPr>
        <w:snapToGrid w:val="0"/>
        <w:spacing w:line="288" w:lineRule="auto"/>
        <w:ind w:firstLine="394" w:firstLineChars="196"/>
        <w:rPr>
          <w:color w:val="000000"/>
          <w:sz w:val="20"/>
          <w:szCs w:val="20"/>
          <w:highlight w:val="cyan"/>
        </w:rPr>
      </w:pPr>
      <w:r>
        <w:rPr>
          <w:rFonts w:hint="eastAsia"/>
          <w:b/>
          <w:bCs/>
          <w:color w:val="000000"/>
          <w:sz w:val="20"/>
          <w:szCs w:val="20"/>
        </w:rPr>
        <w:t>课程网站网址：</w:t>
      </w:r>
      <w:r>
        <w:rPr>
          <w:rFonts w:hint="eastAsia"/>
          <w:color w:val="000000"/>
          <w:sz w:val="20"/>
          <w:szCs w:val="20"/>
        </w:rPr>
        <w:t>【</w:t>
      </w:r>
      <w:r>
        <w:rPr>
          <w:rFonts w:hint="eastAsia"/>
          <w:bCs/>
          <w:color w:val="000000"/>
          <w:sz w:val="20"/>
          <w:szCs w:val="20"/>
        </w:rPr>
        <w:t>暂无】</w:t>
      </w:r>
    </w:p>
    <w:p>
      <w:pPr>
        <w:adjustRightInd w:val="0"/>
        <w:snapToGrid w:val="0"/>
        <w:spacing w:line="288" w:lineRule="auto"/>
        <w:ind w:firstLine="394" w:firstLineChars="196"/>
        <w:rPr>
          <w:color w:val="000000"/>
          <w:sz w:val="20"/>
          <w:szCs w:val="20"/>
        </w:rPr>
      </w:pPr>
      <w:r>
        <w:rPr>
          <w:rFonts w:hint="eastAsia"/>
          <w:b/>
          <w:bCs/>
          <w:color w:val="000000"/>
          <w:sz w:val="20"/>
          <w:szCs w:val="20"/>
        </w:rPr>
        <w:t>先修课程：</w:t>
      </w:r>
      <w:r>
        <w:rPr>
          <w:rFonts w:hint="eastAsia"/>
          <w:color w:val="000000"/>
          <w:sz w:val="20"/>
          <w:szCs w:val="20"/>
        </w:rPr>
        <w:t>【《护理学基础1》 0070012（4）、《护理学导论》 0070033（2）、</w:t>
      </w:r>
    </w:p>
    <w:p>
      <w:pPr>
        <w:adjustRightInd w:val="0"/>
        <w:snapToGrid w:val="0"/>
        <w:spacing w:line="288" w:lineRule="auto"/>
        <w:ind w:firstLine="392" w:firstLineChars="196"/>
        <w:rPr>
          <w:color w:val="000000"/>
          <w:sz w:val="20"/>
          <w:szCs w:val="20"/>
        </w:rPr>
      </w:pPr>
      <w:r>
        <w:rPr>
          <w:rFonts w:hint="eastAsia"/>
          <w:color w:val="000000"/>
          <w:sz w:val="20"/>
          <w:szCs w:val="20"/>
        </w:rPr>
        <w:t>《护理心理学》 0070027（1）、《成人护理1》 0010027（6）、《成人护理2》0010028（6）】</w:t>
      </w:r>
    </w:p>
    <w:p>
      <w:pPr>
        <w:adjustRightInd w:val="0"/>
        <w:snapToGrid w:val="0"/>
        <w:spacing w:before="156" w:beforeLines="50" w:after="156" w:afterLines="50" w:line="288" w:lineRule="auto"/>
        <w:ind w:firstLine="348" w:firstLineChars="145"/>
        <w:rPr>
          <w:b/>
          <w:color w:val="000000"/>
          <w:sz w:val="24"/>
          <w:szCs w:val="20"/>
        </w:rPr>
      </w:pPr>
      <w:r>
        <w:rPr>
          <w:rFonts w:hint="eastAsia" w:ascii="黑体" w:hAnsi="宋体" w:eastAsia="黑体"/>
          <w:sz w:val="24"/>
        </w:rPr>
        <w:t>二、课程简介</w:t>
      </w:r>
    </w:p>
    <w:p>
      <w:pPr>
        <w:adjustRightInd w:val="0"/>
        <w:snapToGrid w:val="0"/>
        <w:ind w:left="183" w:leftChars="87" w:firstLine="400" w:firstLineChars="200"/>
        <w:rPr>
          <w:color w:val="000000"/>
          <w:sz w:val="20"/>
          <w:szCs w:val="20"/>
        </w:rPr>
      </w:pPr>
      <w:r>
        <w:rPr>
          <w:rFonts w:hint="eastAsia"/>
          <w:color w:val="000000"/>
          <w:sz w:val="20"/>
          <w:szCs w:val="20"/>
        </w:rPr>
        <w:t>《护理管理》是护理专业学生的一门主要课程，是将管理学理论和方法应用于护理实践并逐步发展起来的一门应用学科。通过教学，使学生系统地掌握管理的基本知识、基本原理以及管理方法和技术，熟悉医院护理管理系统的基本结构和运作过程，注意培养学生的计划、组织协调、沟通等基本能力，并注重培养学生提出问题、分析问题和解决护理管理问题的综合能力，是一门促进学生综合能力全面提高的重要的护理学人文社会科学课程。</w:t>
      </w:r>
    </w:p>
    <w:p>
      <w:pPr>
        <w:adjustRightInd w:val="0"/>
        <w:snapToGrid w:val="0"/>
        <w:ind w:left="183" w:leftChars="87" w:firstLine="400" w:firstLineChars="200"/>
        <w:rPr>
          <w:color w:val="000000"/>
          <w:sz w:val="20"/>
          <w:szCs w:val="20"/>
        </w:rPr>
      </w:pPr>
      <w:r>
        <w:rPr>
          <w:rFonts w:hint="eastAsia"/>
          <w:color w:val="000000"/>
          <w:sz w:val="20"/>
          <w:szCs w:val="20"/>
        </w:rPr>
        <w:t>通过学习管理的理论和方法，结合护理管理实践讨论学习，培养学生的管理意识及分析问题和解决护理管理实际问题的综合能力，提升学生的护理职业素养，以实现对服务对象实施整体护理及健康管理，保证和提高医院护理质量的目的，同时为学习和发展现代护理管理及今后担负起护理事业的管理工作打好基础。</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三、选课建议</w:t>
      </w:r>
    </w:p>
    <w:p>
      <w:pPr>
        <w:adjustRightInd w:val="0"/>
        <w:snapToGrid w:val="0"/>
        <w:ind w:left="223" w:leftChars="106" w:firstLine="400" w:firstLineChars="200"/>
        <w:rPr>
          <w:color w:val="000000"/>
          <w:sz w:val="20"/>
          <w:szCs w:val="20"/>
        </w:rPr>
      </w:pPr>
      <w:r>
        <w:rPr>
          <w:rFonts w:hint="eastAsia"/>
          <w:color w:val="000000"/>
          <w:sz w:val="20"/>
          <w:szCs w:val="20"/>
        </w:rPr>
        <w:t>护理管理学是护理专业的一门人文社会科学课程，前期课为医学基础课、护理学专业课等，后期为临床实习、见习，本课程安排在第二学年第二学期。</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pPr w:leftFromText="180" w:rightFromText="180" w:vertAnchor="text" w:horzAnchor="page" w:tblpXSpec="center" w:tblpY="242"/>
        <w:tblOverlap w:val="never"/>
        <w:tblW w:w="8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6"/>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636" w:type="dxa"/>
          </w:tcPr>
          <w:p>
            <w:pPr>
              <w:jc w:val="center"/>
              <w:rPr>
                <w:rFonts w:ascii="宋体" w:cs="黑体"/>
                <w:b/>
                <w:kern w:val="0"/>
                <w:sz w:val="20"/>
                <w:szCs w:val="20"/>
              </w:rPr>
            </w:pPr>
            <w:r>
              <w:rPr>
                <w:rFonts w:hint="eastAsia" w:ascii="宋体" w:hAnsi="宋体" w:cs="黑体"/>
                <w:b/>
                <w:kern w:val="0"/>
                <w:sz w:val="20"/>
                <w:szCs w:val="20"/>
              </w:rPr>
              <w:t>专业毕业要求</w:t>
            </w:r>
          </w:p>
        </w:tc>
        <w:tc>
          <w:tcPr>
            <w:tcW w:w="601" w:type="dxa"/>
            <w:vAlign w:val="center"/>
          </w:tcPr>
          <w:p>
            <w:pPr>
              <w:jc w:val="center"/>
              <w:rPr>
                <w:rFonts w:ascii="宋体" w:cs="黑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636" w:type="dxa"/>
            <w:vAlign w:val="center"/>
          </w:tcPr>
          <w:p>
            <w:pPr>
              <w:rPr>
                <w:rFonts w:ascii="宋体"/>
                <w:kern w:val="0"/>
                <w:sz w:val="20"/>
                <w:szCs w:val="20"/>
              </w:rPr>
            </w:pPr>
            <w:r>
              <w:rPr>
                <w:rFonts w:ascii="宋体" w:hAnsi="宋体" w:cs="宋体"/>
                <w:color w:val="000000"/>
                <w:kern w:val="0"/>
                <w:sz w:val="20"/>
                <w:szCs w:val="20"/>
              </w:rPr>
              <w:t>LO11</w:t>
            </w:r>
            <w:r>
              <w:rPr>
                <w:rFonts w:hint="eastAsia" w:ascii="宋体" w:hAnsi="宋体"/>
                <w:color w:val="000000"/>
                <w:sz w:val="20"/>
                <w:szCs w:val="20"/>
              </w:rPr>
              <w:t>表达沟通</w:t>
            </w:r>
          </w:p>
        </w:tc>
        <w:tc>
          <w:tcPr>
            <w:tcW w:w="601" w:type="dxa"/>
            <w:vAlign w:val="center"/>
          </w:tcPr>
          <w:p>
            <w:pPr>
              <w:jc w:val="center"/>
              <w:rPr>
                <w:rFonts w:ascii="宋体" w:cs="宋体"/>
                <w:color w:val="000000"/>
                <w:kern w:val="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636" w:type="dxa"/>
            <w:vAlign w:val="center"/>
          </w:tcPr>
          <w:p>
            <w:pPr>
              <w:widowControl/>
              <w:rPr>
                <w:rFonts w:ascii="宋体"/>
                <w:kern w:val="0"/>
                <w:sz w:val="20"/>
                <w:szCs w:val="20"/>
              </w:rPr>
            </w:pPr>
            <w:r>
              <w:rPr>
                <w:rFonts w:ascii="宋体" w:hAnsi="宋体" w:cs="宋体"/>
                <w:color w:val="000000"/>
                <w:kern w:val="0"/>
                <w:sz w:val="20"/>
                <w:szCs w:val="20"/>
              </w:rPr>
              <w:t>LO21</w:t>
            </w:r>
            <w:r>
              <w:rPr>
                <w:rFonts w:hint="eastAsia" w:ascii="宋体" w:hAnsi="宋体"/>
                <w:color w:val="000000"/>
                <w:sz w:val="20"/>
                <w:szCs w:val="20"/>
              </w:rPr>
              <w:t>自主学习</w:t>
            </w:r>
          </w:p>
        </w:tc>
        <w:tc>
          <w:tcPr>
            <w:tcW w:w="601"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636" w:type="dxa"/>
            <w:vAlign w:val="center"/>
          </w:tcPr>
          <w:p>
            <w:pPr>
              <w:widowControl/>
              <w:rPr>
                <w:rFonts w:ascii="宋体"/>
                <w:color w:val="000000"/>
                <w:sz w:val="20"/>
                <w:szCs w:val="20"/>
              </w:rPr>
            </w:pPr>
            <w:r>
              <w:rPr>
                <w:rFonts w:ascii="宋体" w:hAnsi="宋体" w:cs="宋体"/>
                <w:color w:val="000000"/>
                <w:kern w:val="0"/>
                <w:sz w:val="20"/>
                <w:szCs w:val="20"/>
              </w:rPr>
              <w:t>LO36</w:t>
            </w:r>
            <w:r>
              <w:rPr>
                <w:rFonts w:hint="eastAsia" w:ascii="宋体" w:hAnsi="宋体"/>
                <w:color w:val="000000"/>
                <w:sz w:val="20"/>
                <w:szCs w:val="20"/>
              </w:rPr>
              <w:t>协调管理能力：能协调护理工作中的各种人际关系</w:t>
            </w:r>
            <w:r>
              <w:rPr>
                <w:rFonts w:ascii="宋体"/>
                <w:color w:val="000000"/>
                <w:sz w:val="20"/>
                <w:szCs w:val="20"/>
              </w:rPr>
              <w:t>,</w:t>
            </w:r>
            <w:r>
              <w:rPr>
                <w:rFonts w:hint="eastAsia" w:ascii="宋体" w:hAnsi="宋体"/>
                <w:color w:val="000000"/>
                <w:sz w:val="20"/>
                <w:szCs w:val="20"/>
              </w:rPr>
              <w:t>能负责护理人员、护理物资和各种活动的安排与管理。</w:t>
            </w:r>
          </w:p>
        </w:tc>
        <w:tc>
          <w:tcPr>
            <w:tcW w:w="601"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636" w:type="dxa"/>
            <w:vAlign w:val="center"/>
          </w:tcPr>
          <w:p>
            <w:pPr>
              <w:widowControl/>
              <w:rPr>
                <w:rFonts w:ascii="宋体"/>
                <w:kern w:val="0"/>
                <w:sz w:val="20"/>
                <w:szCs w:val="20"/>
              </w:rPr>
            </w:pPr>
            <w:r>
              <w:rPr>
                <w:rFonts w:ascii="宋体" w:hAnsi="宋体" w:cs="宋体"/>
                <w:color w:val="000000"/>
                <w:kern w:val="0"/>
                <w:sz w:val="20"/>
                <w:szCs w:val="20"/>
              </w:rPr>
              <w:t>LO51</w:t>
            </w:r>
            <w:r>
              <w:rPr>
                <w:rFonts w:hint="eastAsia" w:ascii="宋体" w:hAnsi="宋体"/>
                <w:color w:val="000000"/>
                <w:sz w:val="20"/>
                <w:szCs w:val="20"/>
              </w:rPr>
              <w:t>协同创新</w:t>
            </w:r>
          </w:p>
        </w:tc>
        <w:tc>
          <w:tcPr>
            <w:tcW w:w="601"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w:t>
            </w:r>
          </w:p>
        </w:tc>
      </w:tr>
    </w:tbl>
    <w:p>
      <w:pPr>
        <w:ind w:firstLine="420" w:firstLineChars="200"/>
      </w:pPr>
      <w:r>
        <w:rPr>
          <w:rFonts w:hint="eastAsia"/>
        </w:rPr>
        <w:t>备注：LO=</w:t>
      </w:r>
      <w:r>
        <w:t>learning outcomes</w:t>
      </w:r>
      <w:r>
        <w:rPr>
          <w:rFonts w:hint="eastAsia"/>
        </w:rPr>
        <w:t>（学习成果）</w:t>
      </w:r>
    </w:p>
    <w:p/>
    <w:p>
      <w:pPr>
        <w:spacing w:line="360" w:lineRule="auto"/>
        <w:ind w:firstLine="600" w:firstLineChars="250"/>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264"/>
        <w:gridCol w:w="2381"/>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264"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381"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1</w:t>
            </w:r>
          </w:p>
        </w:tc>
        <w:tc>
          <w:tcPr>
            <w:tcW w:w="1264" w:type="dxa"/>
            <w:shd w:val="clear" w:color="auto" w:fill="auto"/>
            <w:vAlign w:val="center"/>
          </w:tcPr>
          <w:p>
            <w:pPr>
              <w:jc w:val="center"/>
              <w:rPr>
                <w:color w:val="000000"/>
                <w:sz w:val="20"/>
                <w:szCs w:val="20"/>
              </w:rPr>
            </w:pPr>
            <w:r>
              <w:rPr>
                <w:rFonts w:hint="eastAsia"/>
                <w:color w:val="000000"/>
                <w:sz w:val="20"/>
                <w:szCs w:val="20"/>
              </w:rPr>
              <w:t>LO111</w:t>
            </w:r>
          </w:p>
        </w:tc>
        <w:tc>
          <w:tcPr>
            <w:tcW w:w="2381" w:type="dxa"/>
            <w:shd w:val="clear" w:color="auto" w:fill="auto"/>
            <w:vAlign w:val="center"/>
          </w:tcPr>
          <w:p>
            <w:pPr>
              <w:snapToGrid w:val="0"/>
              <w:spacing w:line="288" w:lineRule="auto"/>
              <w:rPr>
                <w:b/>
                <w:color w:val="000000"/>
                <w:sz w:val="20"/>
                <w:szCs w:val="20"/>
              </w:rPr>
            </w:pPr>
            <w:r>
              <w:rPr>
                <w:rFonts w:hint="eastAsia"/>
                <w:color w:val="000000"/>
                <w:sz w:val="20"/>
                <w:szCs w:val="20"/>
              </w:rPr>
              <w:t>具有密切的医护配合、护理团队合作能力和有与患者良好沟通的能力。</w:t>
            </w:r>
          </w:p>
        </w:tc>
        <w:tc>
          <w:tcPr>
            <w:tcW w:w="2199" w:type="dxa"/>
            <w:shd w:val="clear" w:color="auto" w:fill="auto"/>
            <w:vAlign w:val="center"/>
          </w:tcPr>
          <w:p>
            <w:pPr>
              <w:snapToGrid w:val="0"/>
              <w:spacing w:line="288" w:lineRule="auto"/>
              <w:rPr>
                <w:color w:val="000000"/>
                <w:sz w:val="20"/>
                <w:szCs w:val="20"/>
              </w:rPr>
            </w:pPr>
            <w:r>
              <w:rPr>
                <w:rFonts w:hint="eastAsia"/>
                <w:color w:val="000000"/>
                <w:sz w:val="20"/>
                <w:szCs w:val="20"/>
              </w:rPr>
              <w:t>讨论法</w:t>
            </w:r>
          </w:p>
          <w:p>
            <w:pPr>
              <w:snapToGrid w:val="0"/>
              <w:spacing w:line="288" w:lineRule="auto"/>
              <w:rPr>
                <w:b/>
                <w:color w:val="000000"/>
                <w:sz w:val="20"/>
                <w:szCs w:val="20"/>
              </w:rPr>
            </w:pPr>
            <w:r>
              <w:rPr>
                <w:rFonts w:hint="eastAsia"/>
                <w:color w:val="000000"/>
                <w:sz w:val="20"/>
                <w:szCs w:val="20"/>
              </w:rPr>
              <w:t>自主学习</w:t>
            </w:r>
          </w:p>
        </w:tc>
        <w:tc>
          <w:tcPr>
            <w:tcW w:w="1276" w:type="dxa"/>
            <w:shd w:val="clear" w:color="auto" w:fill="auto"/>
            <w:vAlign w:val="center"/>
          </w:tcPr>
          <w:p>
            <w:pPr>
              <w:snapToGrid w:val="0"/>
              <w:spacing w:line="340" w:lineRule="exact"/>
              <w:rPr>
                <w:color w:val="000000"/>
                <w:sz w:val="20"/>
                <w:szCs w:val="20"/>
              </w:rPr>
            </w:pPr>
            <w:r>
              <w:rPr>
                <w:rFonts w:hint="eastAsia"/>
                <w:color w:val="000000"/>
                <w:sz w:val="20"/>
                <w:szCs w:val="20"/>
              </w:rPr>
              <w:t>口头评价</w:t>
            </w:r>
          </w:p>
          <w:p>
            <w:pPr>
              <w:snapToGrid w:val="0"/>
              <w:spacing w:line="288" w:lineRule="auto"/>
              <w:rPr>
                <w:b/>
                <w:color w:val="000000"/>
                <w:sz w:val="20"/>
                <w:szCs w:val="20"/>
              </w:rPr>
            </w:pPr>
            <w:r>
              <w:rPr>
                <w:rFonts w:hint="eastAsia"/>
                <w:color w:val="000000"/>
                <w:sz w:val="20"/>
                <w:szCs w:val="20"/>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2</w:t>
            </w:r>
          </w:p>
        </w:tc>
        <w:tc>
          <w:tcPr>
            <w:tcW w:w="1264" w:type="dxa"/>
            <w:shd w:val="clear" w:color="auto" w:fill="auto"/>
            <w:vAlign w:val="center"/>
          </w:tcPr>
          <w:p>
            <w:pPr>
              <w:jc w:val="center"/>
              <w:rPr>
                <w:color w:val="000000"/>
                <w:sz w:val="20"/>
                <w:szCs w:val="20"/>
              </w:rPr>
            </w:pPr>
            <w:r>
              <w:rPr>
                <w:rFonts w:hint="eastAsia"/>
                <w:color w:val="000000"/>
                <w:sz w:val="20"/>
                <w:szCs w:val="20"/>
              </w:rPr>
              <w:t>LO211</w:t>
            </w:r>
          </w:p>
        </w:tc>
        <w:tc>
          <w:tcPr>
            <w:tcW w:w="2381" w:type="dxa"/>
            <w:shd w:val="clear" w:color="auto" w:fill="auto"/>
            <w:vAlign w:val="center"/>
          </w:tcPr>
          <w:p>
            <w:pPr>
              <w:snapToGrid w:val="0"/>
              <w:spacing w:line="340" w:lineRule="exact"/>
              <w:rPr>
                <w:rFonts w:ascii="仿宋" w:hAnsi="仿宋" w:eastAsia="仿宋" w:cs="宋体"/>
                <w:color w:val="000000"/>
                <w:kern w:val="0"/>
                <w:sz w:val="24"/>
              </w:rPr>
            </w:pPr>
            <w:r>
              <w:rPr>
                <w:rFonts w:hint="eastAsia"/>
                <w:color w:val="000000"/>
                <w:sz w:val="20"/>
                <w:szCs w:val="20"/>
              </w:rPr>
              <w:t>能根据实际需要确定自己的学习目标，并主动通过多种方法来实现。同时，具有继续学习自我提高的能力。</w:t>
            </w:r>
          </w:p>
        </w:tc>
        <w:tc>
          <w:tcPr>
            <w:tcW w:w="2199" w:type="dxa"/>
            <w:shd w:val="clear" w:color="auto" w:fill="auto"/>
            <w:vAlign w:val="center"/>
          </w:tcPr>
          <w:p>
            <w:pPr>
              <w:snapToGrid w:val="0"/>
              <w:spacing w:line="340" w:lineRule="exact"/>
              <w:rPr>
                <w:color w:val="000000"/>
                <w:sz w:val="20"/>
                <w:szCs w:val="20"/>
              </w:rPr>
            </w:pPr>
            <w:r>
              <w:rPr>
                <w:rFonts w:hint="eastAsia"/>
                <w:color w:val="000000"/>
                <w:sz w:val="20"/>
                <w:szCs w:val="20"/>
              </w:rPr>
              <w:t>讨论法</w:t>
            </w:r>
          </w:p>
          <w:p>
            <w:pPr>
              <w:snapToGrid w:val="0"/>
              <w:spacing w:line="340" w:lineRule="exact"/>
              <w:rPr>
                <w:rFonts w:ascii="黑体" w:hAnsi="宋体" w:eastAsia="黑体"/>
                <w:sz w:val="24"/>
              </w:rPr>
            </w:pPr>
            <w:r>
              <w:rPr>
                <w:rFonts w:hint="eastAsia"/>
                <w:color w:val="000000"/>
                <w:sz w:val="20"/>
                <w:szCs w:val="20"/>
              </w:rPr>
              <w:t>自主学习</w:t>
            </w:r>
          </w:p>
        </w:tc>
        <w:tc>
          <w:tcPr>
            <w:tcW w:w="1276" w:type="dxa"/>
            <w:shd w:val="clear" w:color="auto" w:fill="auto"/>
            <w:vAlign w:val="center"/>
          </w:tcPr>
          <w:p>
            <w:pPr>
              <w:snapToGrid w:val="0"/>
              <w:spacing w:line="340" w:lineRule="exact"/>
              <w:rPr>
                <w:color w:val="000000"/>
                <w:sz w:val="20"/>
                <w:szCs w:val="20"/>
              </w:rPr>
            </w:pPr>
            <w:r>
              <w:rPr>
                <w:rFonts w:hint="eastAsia"/>
                <w:color w:val="000000"/>
                <w:sz w:val="20"/>
                <w:szCs w:val="20"/>
              </w:rPr>
              <w:t>口头评价</w:t>
            </w:r>
          </w:p>
          <w:p>
            <w:pPr>
              <w:snapToGrid w:val="0"/>
              <w:spacing w:line="340" w:lineRule="exact"/>
              <w:rPr>
                <w:rFonts w:ascii="黑体" w:hAnsi="宋体" w:eastAsia="黑体"/>
                <w:sz w:val="24"/>
              </w:rPr>
            </w:pPr>
            <w:r>
              <w:rPr>
                <w:rFonts w:hint="eastAsia"/>
                <w:color w:val="000000"/>
                <w:sz w:val="20"/>
                <w:szCs w:val="20"/>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3</w:t>
            </w:r>
          </w:p>
        </w:tc>
        <w:tc>
          <w:tcPr>
            <w:tcW w:w="1264" w:type="dxa"/>
            <w:shd w:val="clear" w:color="auto" w:fill="auto"/>
            <w:vAlign w:val="center"/>
          </w:tcPr>
          <w:p>
            <w:pPr>
              <w:jc w:val="center"/>
              <w:rPr>
                <w:color w:val="000000"/>
                <w:sz w:val="20"/>
                <w:szCs w:val="20"/>
              </w:rPr>
            </w:pPr>
            <w:r>
              <w:rPr>
                <w:rFonts w:hint="eastAsia"/>
                <w:color w:val="000000"/>
                <w:sz w:val="20"/>
                <w:szCs w:val="20"/>
              </w:rPr>
              <w:t>LO36</w:t>
            </w:r>
          </w:p>
        </w:tc>
        <w:tc>
          <w:tcPr>
            <w:tcW w:w="2381" w:type="dxa"/>
            <w:shd w:val="clear" w:color="auto" w:fill="auto"/>
            <w:vAlign w:val="center"/>
          </w:tcPr>
          <w:p>
            <w:pPr>
              <w:snapToGrid w:val="0"/>
              <w:spacing w:line="340" w:lineRule="exact"/>
              <w:rPr>
                <w:color w:val="000000"/>
                <w:sz w:val="20"/>
                <w:szCs w:val="20"/>
              </w:rPr>
            </w:pPr>
            <w:r>
              <w:rPr>
                <w:rFonts w:hint="eastAsia"/>
                <w:color w:val="000000"/>
                <w:sz w:val="20"/>
                <w:szCs w:val="20"/>
              </w:rPr>
              <w:t>能协调护理工作中的各种人际关系,能负责护理人员、护理物资和各种活动的安排与管理。</w:t>
            </w:r>
          </w:p>
        </w:tc>
        <w:tc>
          <w:tcPr>
            <w:tcW w:w="2199" w:type="dxa"/>
            <w:shd w:val="clear" w:color="auto" w:fill="auto"/>
            <w:vAlign w:val="center"/>
          </w:tcPr>
          <w:p>
            <w:pPr>
              <w:snapToGrid w:val="0"/>
              <w:spacing w:line="340" w:lineRule="exact"/>
              <w:rPr>
                <w:color w:val="000000"/>
                <w:sz w:val="20"/>
                <w:szCs w:val="20"/>
              </w:rPr>
            </w:pPr>
            <w:r>
              <w:rPr>
                <w:rFonts w:hint="eastAsia"/>
                <w:color w:val="000000"/>
                <w:sz w:val="20"/>
                <w:szCs w:val="20"/>
              </w:rPr>
              <w:t>讨论法</w:t>
            </w:r>
          </w:p>
          <w:p>
            <w:pPr>
              <w:snapToGrid w:val="0"/>
              <w:spacing w:line="340" w:lineRule="exact"/>
              <w:rPr>
                <w:rFonts w:ascii="黑体" w:hAnsi="宋体" w:eastAsia="黑体"/>
                <w:sz w:val="24"/>
              </w:rPr>
            </w:pPr>
            <w:r>
              <w:rPr>
                <w:rFonts w:hint="eastAsia"/>
                <w:color w:val="000000"/>
                <w:sz w:val="20"/>
                <w:szCs w:val="20"/>
              </w:rPr>
              <w:t>自主学习</w:t>
            </w:r>
          </w:p>
        </w:tc>
        <w:tc>
          <w:tcPr>
            <w:tcW w:w="1276" w:type="dxa"/>
            <w:shd w:val="clear" w:color="auto" w:fill="auto"/>
            <w:vAlign w:val="center"/>
          </w:tcPr>
          <w:p>
            <w:pPr>
              <w:snapToGrid w:val="0"/>
              <w:spacing w:line="340" w:lineRule="exact"/>
              <w:rPr>
                <w:color w:val="000000"/>
                <w:sz w:val="20"/>
                <w:szCs w:val="20"/>
              </w:rPr>
            </w:pPr>
            <w:r>
              <w:rPr>
                <w:rFonts w:hint="eastAsia"/>
                <w:color w:val="000000"/>
                <w:sz w:val="20"/>
                <w:szCs w:val="20"/>
              </w:rPr>
              <w:t>口头评价</w:t>
            </w:r>
          </w:p>
          <w:p>
            <w:pPr>
              <w:snapToGrid w:val="0"/>
              <w:spacing w:line="340" w:lineRule="exact"/>
              <w:rPr>
                <w:rFonts w:ascii="黑体" w:hAnsi="宋体" w:eastAsia="黑体"/>
                <w:sz w:val="24"/>
              </w:rPr>
            </w:pPr>
            <w:r>
              <w:rPr>
                <w:rFonts w:hint="eastAsia"/>
                <w:color w:val="000000"/>
                <w:sz w:val="20"/>
                <w:szCs w:val="20"/>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4</w:t>
            </w:r>
          </w:p>
        </w:tc>
        <w:tc>
          <w:tcPr>
            <w:tcW w:w="1264" w:type="dxa"/>
            <w:shd w:val="clear" w:color="auto" w:fill="auto"/>
            <w:vAlign w:val="center"/>
          </w:tcPr>
          <w:p>
            <w:pPr>
              <w:jc w:val="center"/>
              <w:rPr>
                <w:color w:val="000000"/>
                <w:sz w:val="20"/>
                <w:szCs w:val="20"/>
              </w:rPr>
            </w:pPr>
            <w:r>
              <w:rPr>
                <w:rFonts w:hint="eastAsia"/>
                <w:color w:val="000000"/>
                <w:sz w:val="20"/>
                <w:szCs w:val="20"/>
              </w:rPr>
              <w:t>L0511</w:t>
            </w:r>
          </w:p>
        </w:tc>
        <w:tc>
          <w:tcPr>
            <w:tcW w:w="2381" w:type="dxa"/>
            <w:shd w:val="clear" w:color="auto" w:fill="auto"/>
            <w:vAlign w:val="center"/>
          </w:tcPr>
          <w:p>
            <w:pPr>
              <w:snapToGrid w:val="0"/>
              <w:spacing w:line="340" w:lineRule="exact"/>
              <w:rPr>
                <w:color w:val="000000"/>
                <w:sz w:val="20"/>
                <w:szCs w:val="20"/>
              </w:rPr>
            </w:pPr>
            <w:r>
              <w:rPr>
                <w:rFonts w:hint="eastAsia"/>
                <w:color w:val="000000"/>
                <w:sz w:val="20"/>
                <w:szCs w:val="20"/>
              </w:rPr>
              <w:t>在集体活动中能主动担任自己的角色，与其他成员密切合作，共同完成任务。</w:t>
            </w:r>
          </w:p>
        </w:tc>
        <w:tc>
          <w:tcPr>
            <w:tcW w:w="2199" w:type="dxa"/>
            <w:shd w:val="clear" w:color="auto" w:fill="auto"/>
            <w:vAlign w:val="center"/>
          </w:tcPr>
          <w:p>
            <w:pPr>
              <w:snapToGrid w:val="0"/>
              <w:spacing w:line="340" w:lineRule="exact"/>
              <w:rPr>
                <w:color w:val="000000"/>
                <w:sz w:val="20"/>
                <w:szCs w:val="20"/>
              </w:rPr>
            </w:pPr>
            <w:r>
              <w:rPr>
                <w:rFonts w:hint="eastAsia"/>
                <w:color w:val="000000"/>
                <w:sz w:val="20"/>
                <w:szCs w:val="20"/>
              </w:rPr>
              <w:t>小组合作学习</w:t>
            </w:r>
          </w:p>
          <w:p>
            <w:pPr>
              <w:snapToGrid w:val="0"/>
              <w:spacing w:line="340" w:lineRule="exact"/>
              <w:rPr>
                <w:color w:val="000000"/>
                <w:sz w:val="20"/>
                <w:szCs w:val="20"/>
              </w:rPr>
            </w:pPr>
            <w:r>
              <w:rPr>
                <w:rFonts w:hint="eastAsia"/>
                <w:color w:val="000000"/>
                <w:sz w:val="20"/>
                <w:szCs w:val="20"/>
              </w:rPr>
              <w:t>案例分析法</w:t>
            </w:r>
          </w:p>
          <w:p>
            <w:pPr>
              <w:snapToGrid w:val="0"/>
              <w:spacing w:line="340" w:lineRule="exact"/>
              <w:rPr>
                <w:rFonts w:ascii="黑体" w:hAnsi="宋体" w:eastAsia="黑体"/>
                <w:sz w:val="24"/>
              </w:rPr>
            </w:pPr>
            <w:r>
              <w:rPr>
                <w:rFonts w:hint="eastAsia"/>
                <w:color w:val="000000"/>
                <w:sz w:val="20"/>
                <w:szCs w:val="20"/>
              </w:rPr>
              <w:t>讨论法</w:t>
            </w:r>
          </w:p>
        </w:tc>
        <w:tc>
          <w:tcPr>
            <w:tcW w:w="1276" w:type="dxa"/>
            <w:shd w:val="clear" w:color="auto" w:fill="auto"/>
            <w:vAlign w:val="center"/>
          </w:tcPr>
          <w:p>
            <w:pPr>
              <w:snapToGrid w:val="0"/>
              <w:spacing w:line="340" w:lineRule="exact"/>
              <w:rPr>
                <w:color w:val="000000"/>
                <w:sz w:val="20"/>
                <w:szCs w:val="20"/>
              </w:rPr>
            </w:pPr>
            <w:r>
              <w:rPr>
                <w:rFonts w:hint="eastAsia"/>
                <w:color w:val="000000"/>
                <w:sz w:val="20"/>
                <w:szCs w:val="20"/>
              </w:rPr>
              <w:t>观察评价</w:t>
            </w:r>
          </w:p>
          <w:p>
            <w:pPr>
              <w:snapToGrid w:val="0"/>
              <w:spacing w:line="340" w:lineRule="exact"/>
              <w:rPr>
                <w:rFonts w:ascii="黑体" w:hAnsi="宋体" w:eastAsia="黑体"/>
                <w:sz w:val="24"/>
              </w:rPr>
            </w:pPr>
            <w:r>
              <w:rPr>
                <w:rFonts w:hint="eastAsia"/>
                <w:color w:val="000000"/>
                <w:sz w:val="20"/>
                <w:szCs w:val="20"/>
              </w:rPr>
              <w:t>口头评价</w:t>
            </w:r>
          </w:p>
        </w:tc>
      </w:tr>
    </w:tbl>
    <w:p>
      <w:pPr>
        <w:snapToGrid w:val="0"/>
        <w:spacing w:line="288" w:lineRule="auto"/>
        <w:ind w:left="420" w:leftChars="200"/>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4"/>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15"/>
        <w:gridCol w:w="2127"/>
        <w:gridCol w:w="1984"/>
        <w:gridCol w:w="1276"/>
        <w:gridCol w:w="1173"/>
        <w:gridCol w:w="709"/>
        <w:gridCol w:w="709"/>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45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515"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127"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198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276" w:type="dxa"/>
            <w:vAlign w:val="center"/>
          </w:tcPr>
          <w:p>
            <w:pPr>
              <w:snapToGrid w:val="0"/>
              <w:spacing w:line="288" w:lineRule="auto"/>
              <w:jc w:val="center"/>
              <w:rPr>
                <w:rFonts w:ascii="宋体" w:hAnsi="Times New Roman"/>
                <w:b/>
                <w:color w:val="000000"/>
                <w:sz w:val="20"/>
                <w:szCs w:val="20"/>
              </w:rPr>
            </w:pPr>
            <w:r>
              <w:rPr>
                <w:rFonts w:hint="eastAsia" w:ascii="宋体" w:hAnsi="Times New Roman"/>
                <w:b/>
                <w:color w:val="000000"/>
                <w:sz w:val="20"/>
                <w:szCs w:val="20"/>
              </w:rPr>
              <w:t>情感目标</w:t>
            </w:r>
          </w:p>
        </w:tc>
        <w:tc>
          <w:tcPr>
            <w:tcW w:w="1173" w:type="dxa"/>
          </w:tcPr>
          <w:p>
            <w:pPr>
              <w:snapToGrid w:val="0"/>
              <w:spacing w:line="288" w:lineRule="auto"/>
              <w:jc w:val="center"/>
              <w:rPr>
                <w:rFonts w:ascii="宋体" w:hAnsi="Times New Roman"/>
                <w:b/>
                <w:color w:val="000000"/>
                <w:sz w:val="20"/>
                <w:szCs w:val="20"/>
              </w:rPr>
            </w:pPr>
          </w:p>
          <w:p>
            <w:pPr>
              <w:snapToGrid w:val="0"/>
              <w:spacing w:line="288" w:lineRule="auto"/>
              <w:jc w:val="center"/>
              <w:rPr>
                <w:rFonts w:ascii="宋体" w:hAnsi="宋体"/>
                <w:b/>
                <w:color w:val="000000"/>
                <w:sz w:val="20"/>
                <w:szCs w:val="20"/>
              </w:rPr>
            </w:pPr>
            <w:r>
              <w:rPr>
                <w:rFonts w:hint="eastAsia" w:ascii="宋体" w:hAnsi="Times New Roman"/>
                <w:b/>
                <w:color w:val="000000"/>
                <w:sz w:val="20"/>
                <w:szCs w:val="20"/>
              </w:rPr>
              <w:t>教学重点与难点</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527"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456" w:type="dxa"/>
            <w:vAlign w:val="center"/>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1</w:t>
            </w:r>
          </w:p>
        </w:tc>
        <w:tc>
          <w:tcPr>
            <w:tcW w:w="515" w:type="dxa"/>
            <w:vAlign w:val="center"/>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绪论</w:t>
            </w:r>
          </w:p>
        </w:tc>
        <w:tc>
          <w:tcPr>
            <w:tcW w:w="2127" w:type="dxa"/>
          </w:tcPr>
          <w:p>
            <w:pPr>
              <w:snapToGrid w:val="0"/>
              <w:spacing w:line="288" w:lineRule="auto"/>
              <w:rPr>
                <w:rFonts w:ascii="宋体" w:hAnsi="宋体"/>
                <w:bCs/>
                <w:color w:val="000000"/>
                <w:sz w:val="20"/>
                <w:szCs w:val="20"/>
              </w:rPr>
            </w:pPr>
            <w:r>
              <w:rPr>
                <w:rFonts w:hint="eastAsia" w:ascii="宋体" w:hAnsi="宋体"/>
                <w:bCs/>
                <w:color w:val="000000"/>
                <w:sz w:val="20"/>
                <w:szCs w:val="20"/>
              </w:rPr>
              <w:t>1.掌握：管理、管理学、护理管理的相关概念、特点及特征。</w:t>
            </w:r>
          </w:p>
          <w:p>
            <w:pPr>
              <w:snapToGrid w:val="0"/>
              <w:spacing w:line="288" w:lineRule="auto"/>
              <w:rPr>
                <w:rFonts w:ascii="宋体" w:hAnsi="宋体"/>
                <w:bCs/>
                <w:color w:val="000000"/>
                <w:sz w:val="20"/>
                <w:szCs w:val="20"/>
              </w:rPr>
            </w:pPr>
            <w:r>
              <w:rPr>
                <w:rFonts w:hint="eastAsia" w:ascii="宋体" w:hAnsi="宋体"/>
                <w:bCs/>
                <w:color w:val="000000"/>
                <w:sz w:val="20"/>
                <w:szCs w:val="20"/>
              </w:rPr>
              <w:t>2.熟悉：护理管理的管理方法。</w:t>
            </w:r>
          </w:p>
          <w:p>
            <w:pPr>
              <w:snapToGrid w:val="0"/>
              <w:spacing w:line="288" w:lineRule="auto"/>
              <w:rPr>
                <w:rFonts w:ascii="宋体" w:hAnsi="宋体"/>
                <w:bCs/>
                <w:color w:val="000000"/>
                <w:sz w:val="20"/>
                <w:szCs w:val="20"/>
              </w:rPr>
            </w:pPr>
            <w:r>
              <w:rPr>
                <w:rFonts w:hint="eastAsia" w:ascii="宋体" w:hAnsi="宋体"/>
                <w:bCs/>
                <w:color w:val="000000"/>
                <w:sz w:val="20"/>
                <w:szCs w:val="20"/>
              </w:rPr>
              <w:t>3.了解：护理管理的发展趋势。</w:t>
            </w:r>
          </w:p>
        </w:tc>
        <w:tc>
          <w:tcPr>
            <w:tcW w:w="1984" w:type="dxa"/>
          </w:tcPr>
          <w:p>
            <w:pPr>
              <w:snapToGrid w:val="0"/>
              <w:spacing w:line="288" w:lineRule="auto"/>
              <w:rPr>
                <w:rFonts w:ascii="宋体" w:hAnsi="宋体"/>
                <w:bCs/>
                <w:color w:val="000000"/>
                <w:sz w:val="20"/>
                <w:szCs w:val="20"/>
              </w:rPr>
            </w:pPr>
            <w:r>
              <w:rPr>
                <w:rFonts w:hint="eastAsia" w:ascii="宋体" w:hAnsi="宋体"/>
                <w:bCs/>
                <w:color w:val="000000"/>
                <w:sz w:val="20"/>
                <w:szCs w:val="20"/>
              </w:rPr>
              <w:t>通过护理管理相关内容的学习,学会运用基础管理知识解释身边管理工作的基本情况。</w:t>
            </w:r>
          </w:p>
          <w:p>
            <w:pPr>
              <w:snapToGrid w:val="0"/>
              <w:spacing w:line="288" w:lineRule="auto"/>
              <w:rPr>
                <w:rFonts w:ascii="宋体" w:hAnsi="Times New Roman"/>
                <w:b/>
                <w:color w:val="000000"/>
                <w:sz w:val="20"/>
                <w:szCs w:val="20"/>
              </w:rPr>
            </w:pPr>
          </w:p>
        </w:tc>
        <w:tc>
          <w:tcPr>
            <w:tcW w:w="1276" w:type="dxa"/>
          </w:tcPr>
          <w:p>
            <w:pPr>
              <w:snapToGrid w:val="0"/>
              <w:spacing w:line="288" w:lineRule="auto"/>
              <w:rPr>
                <w:rFonts w:ascii="宋体" w:hAnsi="Times New Roman"/>
                <w:b/>
                <w:color w:val="000000"/>
                <w:sz w:val="20"/>
                <w:szCs w:val="20"/>
              </w:rPr>
            </w:pPr>
            <w:r>
              <w:rPr>
                <w:rFonts w:hint="eastAsia" w:ascii="宋体" w:hAnsi="宋体"/>
                <w:bCs/>
                <w:color w:val="000000"/>
                <w:sz w:val="20"/>
                <w:szCs w:val="20"/>
              </w:rPr>
              <w:t>具有运用运用所学知识解决实际问题的意识</w:t>
            </w:r>
          </w:p>
        </w:tc>
        <w:tc>
          <w:tcPr>
            <w:tcW w:w="1173" w:type="dxa"/>
          </w:tcPr>
          <w:p>
            <w:pPr>
              <w:rPr>
                <w:rFonts w:ascii="宋体" w:hAnsi="宋体"/>
                <w:color w:val="000000"/>
                <w:sz w:val="20"/>
                <w:szCs w:val="20"/>
              </w:rPr>
            </w:pPr>
            <w:r>
              <w:rPr>
                <w:rFonts w:hint="eastAsia" w:ascii="宋体" w:hAnsi="宋体"/>
                <w:bCs/>
                <w:color w:val="000000"/>
                <w:sz w:val="20"/>
                <w:szCs w:val="20"/>
              </w:rPr>
              <w:t>护理管理的管理方法</w:t>
            </w:r>
          </w:p>
        </w:tc>
        <w:tc>
          <w:tcPr>
            <w:tcW w:w="709" w:type="dxa"/>
          </w:tcPr>
          <w:p>
            <w:pPr>
              <w:jc w:val="center"/>
              <w:rPr>
                <w:rFonts w:ascii="宋体" w:hAnsi="宋体"/>
                <w:color w:val="000000"/>
                <w:sz w:val="20"/>
                <w:szCs w:val="20"/>
              </w:rPr>
            </w:pPr>
            <w:r>
              <w:rPr>
                <w:rFonts w:hint="eastAsia" w:ascii="宋体" w:hAnsi="宋体"/>
                <w:color w:val="000000"/>
                <w:sz w:val="20"/>
                <w:szCs w:val="20"/>
              </w:rPr>
              <w:t>1</w:t>
            </w:r>
          </w:p>
        </w:tc>
        <w:tc>
          <w:tcPr>
            <w:tcW w:w="709" w:type="dxa"/>
          </w:tcPr>
          <w:p>
            <w:pPr>
              <w:jc w:val="center"/>
              <w:rPr>
                <w:rFonts w:ascii="宋体" w:hAnsi="宋体"/>
                <w:color w:val="000000"/>
                <w:sz w:val="20"/>
                <w:szCs w:val="20"/>
              </w:rPr>
            </w:pPr>
            <w:r>
              <w:rPr>
                <w:rFonts w:hint="eastAsia" w:ascii="宋体" w:hAnsi="宋体"/>
                <w:color w:val="000000"/>
                <w:sz w:val="20"/>
                <w:szCs w:val="20"/>
              </w:rPr>
              <w:t>0</w:t>
            </w:r>
          </w:p>
        </w:tc>
        <w:tc>
          <w:tcPr>
            <w:tcW w:w="527" w:type="dxa"/>
          </w:tcPr>
          <w:p>
            <w:pPr>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456" w:type="dxa"/>
            <w:vAlign w:val="center"/>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2</w:t>
            </w:r>
          </w:p>
        </w:tc>
        <w:tc>
          <w:tcPr>
            <w:tcW w:w="515" w:type="dxa"/>
            <w:vAlign w:val="center"/>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管理理论、原理和原则</w:t>
            </w:r>
          </w:p>
        </w:tc>
        <w:tc>
          <w:tcPr>
            <w:tcW w:w="2127" w:type="dxa"/>
          </w:tcPr>
          <w:p>
            <w:pPr>
              <w:snapToGrid w:val="0"/>
              <w:spacing w:line="288" w:lineRule="auto"/>
              <w:rPr>
                <w:rFonts w:ascii="宋体" w:hAnsi="宋体"/>
                <w:bCs/>
                <w:color w:val="000000"/>
                <w:sz w:val="20"/>
                <w:szCs w:val="20"/>
              </w:rPr>
            </w:pPr>
            <w:r>
              <w:rPr>
                <w:rFonts w:hint="eastAsia" w:ascii="宋体" w:hAnsi="宋体"/>
                <w:bCs/>
                <w:color w:val="000000"/>
                <w:sz w:val="20"/>
                <w:szCs w:val="20"/>
              </w:rPr>
              <w:t>1.掌握：科学管理理论、管理过程理论、人际关系理论的主要内容；系统原理和人本原理的主要内容</w:t>
            </w:r>
          </w:p>
          <w:p>
            <w:pPr>
              <w:snapToGrid w:val="0"/>
              <w:spacing w:line="288" w:lineRule="auto"/>
              <w:rPr>
                <w:rFonts w:ascii="宋体" w:hAnsi="宋体"/>
                <w:bCs/>
                <w:color w:val="000000"/>
                <w:sz w:val="20"/>
                <w:szCs w:val="20"/>
              </w:rPr>
            </w:pPr>
            <w:r>
              <w:rPr>
                <w:rFonts w:hint="eastAsia" w:ascii="宋体" w:hAnsi="宋体"/>
                <w:bCs/>
                <w:color w:val="000000"/>
                <w:sz w:val="20"/>
                <w:szCs w:val="20"/>
              </w:rPr>
              <w:t>2.熟悉：行政组织理论、动态原理和效益原理的主要内容。</w:t>
            </w:r>
          </w:p>
          <w:p>
            <w:pPr>
              <w:snapToGrid w:val="0"/>
              <w:spacing w:line="288" w:lineRule="auto"/>
              <w:rPr>
                <w:rFonts w:ascii="宋体" w:hAnsi="宋体"/>
                <w:bCs/>
                <w:color w:val="000000"/>
                <w:sz w:val="20"/>
                <w:szCs w:val="20"/>
              </w:rPr>
            </w:pPr>
            <w:r>
              <w:rPr>
                <w:rFonts w:hint="eastAsia" w:ascii="宋体" w:hAnsi="宋体"/>
                <w:bCs/>
                <w:color w:val="000000"/>
                <w:sz w:val="20"/>
                <w:szCs w:val="20"/>
              </w:rPr>
              <w:t>3.了解：“霍桑试验”的主要内容和贡献。</w:t>
            </w:r>
          </w:p>
        </w:tc>
        <w:tc>
          <w:tcPr>
            <w:tcW w:w="1984" w:type="dxa"/>
          </w:tcPr>
          <w:p>
            <w:pPr>
              <w:snapToGrid w:val="0"/>
              <w:spacing w:line="288" w:lineRule="auto"/>
              <w:rPr>
                <w:rFonts w:ascii="宋体" w:hAnsi="Times New Roman"/>
                <w:b/>
                <w:color w:val="000000"/>
                <w:sz w:val="20"/>
                <w:szCs w:val="20"/>
              </w:rPr>
            </w:pPr>
            <w:r>
              <w:rPr>
                <w:rFonts w:hint="eastAsia" w:ascii="宋体" w:hAnsi="宋体"/>
                <w:bCs/>
                <w:color w:val="000000"/>
                <w:sz w:val="20"/>
                <w:szCs w:val="20"/>
              </w:rPr>
              <w:t>学会运用科学管理理论、人际关系理论解决实际问题。</w:t>
            </w:r>
          </w:p>
        </w:tc>
        <w:tc>
          <w:tcPr>
            <w:tcW w:w="1276" w:type="dxa"/>
          </w:tcPr>
          <w:p>
            <w:pPr>
              <w:snapToGrid w:val="0"/>
              <w:spacing w:line="288" w:lineRule="auto"/>
              <w:rPr>
                <w:rFonts w:ascii="宋体" w:hAnsi="Times New Roman"/>
                <w:b/>
                <w:color w:val="000000"/>
                <w:sz w:val="20"/>
                <w:szCs w:val="20"/>
              </w:rPr>
            </w:pPr>
            <w:r>
              <w:rPr>
                <w:rFonts w:hint="eastAsia" w:ascii="宋体" w:hAnsi="宋体"/>
                <w:bCs/>
                <w:color w:val="000000"/>
                <w:sz w:val="20"/>
                <w:szCs w:val="20"/>
              </w:rPr>
              <w:t>具有运用系统原理、人本原理处理护患关系的能力。</w:t>
            </w:r>
          </w:p>
        </w:tc>
        <w:tc>
          <w:tcPr>
            <w:tcW w:w="1173" w:type="dxa"/>
          </w:tcPr>
          <w:p>
            <w:pPr>
              <w:rPr>
                <w:rFonts w:ascii="宋体" w:hAnsi="宋体"/>
                <w:color w:val="000000"/>
                <w:sz w:val="20"/>
                <w:szCs w:val="20"/>
              </w:rPr>
            </w:pPr>
            <w:r>
              <w:rPr>
                <w:rFonts w:hint="eastAsia" w:ascii="宋体" w:hAnsi="宋体"/>
                <w:bCs/>
                <w:color w:val="000000"/>
                <w:sz w:val="20"/>
                <w:szCs w:val="20"/>
              </w:rPr>
              <w:t>科学管理理论、管理过程理论、人际关系理论的主要内容</w:t>
            </w:r>
          </w:p>
        </w:tc>
        <w:tc>
          <w:tcPr>
            <w:tcW w:w="709" w:type="dxa"/>
          </w:tcPr>
          <w:p>
            <w:pPr>
              <w:jc w:val="center"/>
              <w:rPr>
                <w:rFonts w:ascii="宋体" w:hAnsi="宋体"/>
                <w:color w:val="000000"/>
                <w:sz w:val="20"/>
                <w:szCs w:val="20"/>
              </w:rPr>
            </w:pPr>
            <w:r>
              <w:rPr>
                <w:rFonts w:hint="eastAsia" w:ascii="宋体" w:hAnsi="宋体"/>
                <w:color w:val="000000"/>
                <w:sz w:val="20"/>
                <w:szCs w:val="20"/>
              </w:rPr>
              <w:t>2</w:t>
            </w:r>
          </w:p>
        </w:tc>
        <w:tc>
          <w:tcPr>
            <w:tcW w:w="709" w:type="dxa"/>
          </w:tcPr>
          <w:p>
            <w:pPr>
              <w:jc w:val="center"/>
              <w:rPr>
                <w:rFonts w:ascii="宋体" w:hAnsi="宋体"/>
                <w:color w:val="000000"/>
                <w:sz w:val="20"/>
                <w:szCs w:val="20"/>
              </w:rPr>
            </w:pPr>
            <w:r>
              <w:rPr>
                <w:rFonts w:hint="eastAsia" w:ascii="宋体" w:hAnsi="宋体"/>
                <w:color w:val="000000"/>
                <w:sz w:val="20"/>
                <w:szCs w:val="20"/>
              </w:rPr>
              <w:t>0</w:t>
            </w:r>
          </w:p>
        </w:tc>
        <w:tc>
          <w:tcPr>
            <w:tcW w:w="527" w:type="dxa"/>
          </w:tcPr>
          <w:p>
            <w:pPr>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56" w:type="dxa"/>
            <w:vAlign w:val="center"/>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3</w:t>
            </w:r>
          </w:p>
        </w:tc>
        <w:tc>
          <w:tcPr>
            <w:tcW w:w="515" w:type="dxa"/>
            <w:vAlign w:val="center"/>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计划职能</w:t>
            </w:r>
          </w:p>
        </w:tc>
        <w:tc>
          <w:tcPr>
            <w:tcW w:w="2127" w:type="dxa"/>
          </w:tcPr>
          <w:p>
            <w:pPr>
              <w:snapToGrid w:val="0"/>
              <w:spacing w:line="288" w:lineRule="auto"/>
              <w:rPr>
                <w:rFonts w:ascii="宋体" w:hAnsi="宋体"/>
                <w:bCs/>
                <w:color w:val="000000"/>
                <w:sz w:val="20"/>
                <w:szCs w:val="20"/>
              </w:rPr>
            </w:pPr>
            <w:r>
              <w:rPr>
                <w:rFonts w:hint="eastAsia" w:ascii="宋体" w:hAnsi="宋体"/>
                <w:bCs/>
                <w:color w:val="000000"/>
                <w:sz w:val="20"/>
                <w:szCs w:val="20"/>
              </w:rPr>
              <w:t>1.掌握：计划的概念、计划工作的基本步骤，目标管理的过程和特点，时间管理过程。</w:t>
            </w:r>
          </w:p>
          <w:p>
            <w:pPr>
              <w:snapToGrid w:val="0"/>
              <w:spacing w:line="288" w:lineRule="auto"/>
              <w:rPr>
                <w:rFonts w:ascii="宋体" w:hAnsi="宋体"/>
                <w:bCs/>
                <w:color w:val="000000"/>
                <w:sz w:val="20"/>
                <w:szCs w:val="20"/>
              </w:rPr>
            </w:pPr>
            <w:r>
              <w:rPr>
                <w:rFonts w:hint="eastAsia" w:ascii="宋体" w:hAnsi="宋体"/>
                <w:bCs/>
                <w:color w:val="000000"/>
                <w:sz w:val="20"/>
                <w:szCs w:val="20"/>
              </w:rPr>
              <w:t>2.熟悉：计划、目标管理、时间管理在护理管理中的应用。</w:t>
            </w:r>
          </w:p>
          <w:p>
            <w:pPr>
              <w:snapToGrid w:val="0"/>
              <w:spacing w:line="288" w:lineRule="auto"/>
              <w:rPr>
                <w:rFonts w:ascii="宋体" w:hAnsi="宋体"/>
                <w:bCs/>
                <w:color w:val="000000"/>
                <w:sz w:val="20"/>
                <w:szCs w:val="20"/>
              </w:rPr>
            </w:pPr>
            <w:r>
              <w:rPr>
                <w:rFonts w:hint="eastAsia" w:ascii="宋体" w:hAnsi="宋体"/>
                <w:bCs/>
                <w:color w:val="000000"/>
                <w:sz w:val="20"/>
                <w:szCs w:val="20"/>
              </w:rPr>
              <w:t>3.了解：计划的类型、意义和原则，目标管理的作用，时间管理的艺术。</w:t>
            </w:r>
          </w:p>
        </w:tc>
        <w:tc>
          <w:tcPr>
            <w:tcW w:w="1984" w:type="dxa"/>
          </w:tcPr>
          <w:p>
            <w:pPr>
              <w:snapToGrid w:val="0"/>
              <w:spacing w:line="288" w:lineRule="auto"/>
              <w:rPr>
                <w:rFonts w:ascii="宋体" w:hAnsi="Times New Roman"/>
                <w:b/>
                <w:color w:val="000000"/>
                <w:sz w:val="20"/>
                <w:szCs w:val="20"/>
              </w:rPr>
            </w:pPr>
            <w:r>
              <w:rPr>
                <w:rFonts w:hint="eastAsia" w:ascii="宋体" w:hAnsi="宋体"/>
                <w:bCs/>
                <w:color w:val="000000"/>
                <w:sz w:val="20"/>
                <w:szCs w:val="20"/>
              </w:rPr>
              <w:t>学会运用ABC时间管理法处理护理工作中的实际问题。</w:t>
            </w:r>
          </w:p>
        </w:tc>
        <w:tc>
          <w:tcPr>
            <w:tcW w:w="1276" w:type="dxa"/>
          </w:tcPr>
          <w:p>
            <w:pPr>
              <w:snapToGrid w:val="0"/>
              <w:spacing w:line="288" w:lineRule="auto"/>
              <w:rPr>
                <w:rFonts w:ascii="宋体" w:hAnsi="Times New Roman"/>
                <w:b/>
                <w:color w:val="000000"/>
                <w:sz w:val="20"/>
                <w:szCs w:val="20"/>
              </w:rPr>
            </w:pPr>
            <w:r>
              <w:rPr>
                <w:rFonts w:hint="eastAsia" w:ascii="宋体" w:hAnsi="宋体"/>
                <w:bCs/>
                <w:color w:val="000000"/>
                <w:sz w:val="20"/>
                <w:szCs w:val="20"/>
              </w:rPr>
              <w:t>具有结合临床护理工作实际,制定合理计划的能力。</w:t>
            </w:r>
          </w:p>
        </w:tc>
        <w:tc>
          <w:tcPr>
            <w:tcW w:w="1173" w:type="dxa"/>
          </w:tcPr>
          <w:p>
            <w:pPr>
              <w:rPr>
                <w:rFonts w:ascii="宋体" w:hAnsi="宋体"/>
                <w:color w:val="000000"/>
                <w:sz w:val="20"/>
                <w:szCs w:val="20"/>
              </w:rPr>
            </w:pPr>
            <w:r>
              <w:rPr>
                <w:rFonts w:hint="eastAsia" w:ascii="宋体" w:hAnsi="宋体"/>
                <w:bCs/>
                <w:color w:val="000000"/>
                <w:sz w:val="20"/>
                <w:szCs w:val="20"/>
              </w:rPr>
              <w:t>目标管理和时间管理的过程</w:t>
            </w:r>
          </w:p>
        </w:tc>
        <w:tc>
          <w:tcPr>
            <w:tcW w:w="709" w:type="dxa"/>
          </w:tcPr>
          <w:p>
            <w:pPr>
              <w:jc w:val="center"/>
              <w:rPr>
                <w:rFonts w:ascii="宋体" w:hAnsi="宋体"/>
                <w:color w:val="000000"/>
                <w:sz w:val="20"/>
                <w:szCs w:val="20"/>
              </w:rPr>
            </w:pPr>
            <w:r>
              <w:rPr>
                <w:rFonts w:hint="eastAsia" w:ascii="宋体" w:hAnsi="宋体"/>
                <w:color w:val="000000"/>
                <w:sz w:val="20"/>
                <w:szCs w:val="20"/>
              </w:rPr>
              <w:t>3</w:t>
            </w:r>
          </w:p>
        </w:tc>
        <w:tc>
          <w:tcPr>
            <w:tcW w:w="709" w:type="dxa"/>
          </w:tcPr>
          <w:p>
            <w:pPr>
              <w:jc w:val="center"/>
              <w:rPr>
                <w:rFonts w:ascii="宋体" w:hAnsi="宋体"/>
                <w:color w:val="000000"/>
                <w:sz w:val="20"/>
                <w:szCs w:val="20"/>
              </w:rPr>
            </w:pPr>
            <w:r>
              <w:rPr>
                <w:rFonts w:hint="eastAsia" w:ascii="宋体" w:hAnsi="宋体"/>
                <w:color w:val="000000"/>
                <w:sz w:val="20"/>
                <w:szCs w:val="20"/>
              </w:rPr>
              <w:t>0</w:t>
            </w:r>
          </w:p>
        </w:tc>
        <w:tc>
          <w:tcPr>
            <w:tcW w:w="527" w:type="dxa"/>
          </w:tcPr>
          <w:p>
            <w:pPr>
              <w:jc w:val="center"/>
              <w:rPr>
                <w:rFonts w:ascii="宋体" w:hAnsi="宋体"/>
                <w:color w:val="000000"/>
                <w:sz w:val="20"/>
                <w:szCs w:val="20"/>
              </w:rPr>
            </w:pPr>
            <w:r>
              <w:rPr>
                <w:rFonts w:hint="eastAsia" w:ascii="宋体" w:hAnsi="宋体"/>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456" w:type="dxa"/>
            <w:vAlign w:val="center"/>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4</w:t>
            </w:r>
          </w:p>
        </w:tc>
        <w:tc>
          <w:tcPr>
            <w:tcW w:w="515" w:type="dxa"/>
            <w:vAlign w:val="center"/>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组织职能</w:t>
            </w:r>
          </w:p>
        </w:tc>
        <w:tc>
          <w:tcPr>
            <w:tcW w:w="2127" w:type="dxa"/>
          </w:tcPr>
          <w:p>
            <w:pPr>
              <w:snapToGrid w:val="0"/>
              <w:spacing w:line="288" w:lineRule="auto"/>
              <w:rPr>
                <w:rFonts w:ascii="宋体" w:hAnsi="宋体"/>
                <w:bCs/>
                <w:color w:val="000000"/>
                <w:sz w:val="20"/>
                <w:szCs w:val="20"/>
              </w:rPr>
            </w:pPr>
            <w:r>
              <w:rPr>
                <w:rFonts w:hint="eastAsia" w:ascii="宋体" w:hAnsi="宋体"/>
                <w:bCs/>
                <w:color w:val="000000"/>
                <w:sz w:val="20"/>
                <w:szCs w:val="20"/>
              </w:rPr>
              <w:t>1.掌握：正式组织与非正式组织的特点及区别、各类型组织结构的优缺点、组织设计的程序与原则、组织文化构成要素、我国医院护理组织管理层级。</w:t>
            </w:r>
          </w:p>
          <w:p>
            <w:pPr>
              <w:snapToGrid w:val="0"/>
              <w:spacing w:line="288" w:lineRule="auto"/>
              <w:rPr>
                <w:rFonts w:ascii="宋体" w:hAnsi="宋体"/>
                <w:bCs/>
                <w:color w:val="000000"/>
                <w:sz w:val="20"/>
                <w:szCs w:val="20"/>
              </w:rPr>
            </w:pPr>
            <w:r>
              <w:rPr>
                <w:rFonts w:hint="eastAsia" w:ascii="宋体" w:hAnsi="宋体"/>
                <w:bCs/>
                <w:color w:val="000000"/>
                <w:sz w:val="20"/>
                <w:szCs w:val="20"/>
              </w:rPr>
              <w:t>2.熟悉：组织的基本要素、组织设计的基本步骤、各种组织结构的特点、组织文化及组织变革在护理管理中的应用。</w:t>
            </w:r>
          </w:p>
          <w:p>
            <w:pPr>
              <w:snapToGrid w:val="0"/>
              <w:spacing w:line="288" w:lineRule="auto"/>
              <w:rPr>
                <w:rFonts w:ascii="宋体" w:hAnsi="宋体"/>
                <w:bCs/>
                <w:color w:val="000000"/>
                <w:sz w:val="20"/>
                <w:szCs w:val="20"/>
              </w:rPr>
            </w:pPr>
            <w:r>
              <w:rPr>
                <w:rFonts w:hint="eastAsia" w:ascii="宋体" w:hAnsi="宋体"/>
                <w:bCs/>
                <w:color w:val="000000"/>
                <w:sz w:val="20"/>
                <w:szCs w:val="20"/>
              </w:rPr>
              <w:t>3.了解：我国卫生组织系统的组成、医院的基本功能、护理部的地位和作用及组织变革应遵循的原则与程序。</w:t>
            </w:r>
          </w:p>
        </w:tc>
        <w:tc>
          <w:tcPr>
            <w:tcW w:w="1984" w:type="dxa"/>
          </w:tcPr>
          <w:p>
            <w:pPr>
              <w:snapToGrid w:val="0"/>
              <w:spacing w:line="288" w:lineRule="auto"/>
              <w:rPr>
                <w:rFonts w:ascii="宋体" w:hAnsi="宋体"/>
                <w:bCs/>
                <w:color w:val="000000"/>
                <w:sz w:val="20"/>
                <w:szCs w:val="20"/>
              </w:rPr>
            </w:pPr>
            <w:r>
              <w:rPr>
                <w:rFonts w:hint="eastAsia" w:ascii="宋体" w:hAnsi="宋体"/>
                <w:bCs/>
                <w:color w:val="000000"/>
                <w:sz w:val="20"/>
                <w:szCs w:val="20"/>
              </w:rPr>
              <w:t>学会运用组织设计的原则与方法设计一般组织。</w:t>
            </w:r>
          </w:p>
          <w:p>
            <w:pPr>
              <w:snapToGrid w:val="0"/>
              <w:spacing w:line="288" w:lineRule="auto"/>
              <w:rPr>
                <w:rFonts w:ascii="宋体" w:hAnsi="Times New Roman"/>
                <w:b/>
                <w:color w:val="000000"/>
                <w:sz w:val="20"/>
                <w:szCs w:val="20"/>
              </w:rPr>
            </w:pPr>
          </w:p>
        </w:tc>
        <w:tc>
          <w:tcPr>
            <w:tcW w:w="1276" w:type="dxa"/>
          </w:tcPr>
          <w:p>
            <w:pPr>
              <w:snapToGrid w:val="0"/>
              <w:spacing w:line="288" w:lineRule="auto"/>
              <w:rPr>
                <w:rFonts w:ascii="宋体" w:hAnsi="宋体"/>
                <w:bCs/>
                <w:color w:val="000000"/>
                <w:sz w:val="20"/>
                <w:szCs w:val="20"/>
              </w:rPr>
            </w:pPr>
            <w:r>
              <w:rPr>
                <w:rFonts w:hint="eastAsia" w:ascii="宋体" w:hAnsi="宋体"/>
                <w:bCs/>
                <w:color w:val="000000"/>
                <w:sz w:val="20"/>
                <w:szCs w:val="20"/>
              </w:rPr>
              <w:t>具有运用组织文化建设开展人性化管理能力及运用组织变革的观点看待组织发展问题的能力。</w:t>
            </w:r>
          </w:p>
          <w:p>
            <w:pPr>
              <w:snapToGrid w:val="0"/>
              <w:spacing w:line="288" w:lineRule="auto"/>
              <w:rPr>
                <w:rFonts w:ascii="宋体" w:hAnsi="Times New Roman"/>
                <w:b/>
                <w:color w:val="000000"/>
                <w:sz w:val="20"/>
                <w:szCs w:val="20"/>
              </w:rPr>
            </w:pPr>
          </w:p>
        </w:tc>
        <w:tc>
          <w:tcPr>
            <w:tcW w:w="1173" w:type="dxa"/>
          </w:tcPr>
          <w:p>
            <w:pPr>
              <w:rPr>
                <w:rFonts w:ascii="宋体" w:hAnsi="宋体"/>
                <w:color w:val="000000"/>
                <w:sz w:val="20"/>
                <w:szCs w:val="20"/>
              </w:rPr>
            </w:pPr>
            <w:r>
              <w:rPr>
                <w:rFonts w:hint="eastAsia" w:ascii="宋体" w:hAnsi="宋体"/>
                <w:bCs/>
                <w:color w:val="000000"/>
                <w:sz w:val="20"/>
                <w:szCs w:val="20"/>
              </w:rPr>
              <w:t>正式组织与非正式组织的特点及区别</w:t>
            </w:r>
          </w:p>
        </w:tc>
        <w:tc>
          <w:tcPr>
            <w:tcW w:w="709" w:type="dxa"/>
          </w:tcPr>
          <w:p>
            <w:pPr>
              <w:jc w:val="center"/>
              <w:rPr>
                <w:rFonts w:ascii="宋体" w:hAnsi="宋体"/>
                <w:color w:val="000000"/>
                <w:sz w:val="20"/>
                <w:szCs w:val="20"/>
              </w:rPr>
            </w:pPr>
            <w:r>
              <w:rPr>
                <w:rFonts w:hint="eastAsia" w:ascii="宋体" w:hAnsi="宋体"/>
                <w:color w:val="000000"/>
                <w:sz w:val="20"/>
                <w:szCs w:val="20"/>
              </w:rPr>
              <w:t>2</w:t>
            </w:r>
          </w:p>
        </w:tc>
        <w:tc>
          <w:tcPr>
            <w:tcW w:w="709" w:type="dxa"/>
          </w:tcPr>
          <w:p>
            <w:pPr>
              <w:jc w:val="center"/>
              <w:rPr>
                <w:rFonts w:ascii="宋体" w:hAnsi="宋体"/>
                <w:color w:val="000000"/>
                <w:sz w:val="20"/>
                <w:szCs w:val="20"/>
              </w:rPr>
            </w:pPr>
            <w:r>
              <w:rPr>
                <w:rFonts w:hint="eastAsia" w:ascii="宋体" w:hAnsi="宋体"/>
                <w:color w:val="000000"/>
                <w:sz w:val="20"/>
                <w:szCs w:val="20"/>
              </w:rPr>
              <w:t>0</w:t>
            </w:r>
          </w:p>
        </w:tc>
        <w:tc>
          <w:tcPr>
            <w:tcW w:w="527" w:type="dxa"/>
          </w:tcPr>
          <w:p>
            <w:pPr>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56" w:type="dxa"/>
            <w:vAlign w:val="center"/>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5</w:t>
            </w:r>
          </w:p>
        </w:tc>
        <w:tc>
          <w:tcPr>
            <w:tcW w:w="515" w:type="dxa"/>
            <w:vAlign w:val="center"/>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护理人力资源管理</w:t>
            </w:r>
          </w:p>
          <w:p>
            <w:pPr>
              <w:snapToGrid w:val="0"/>
              <w:spacing w:line="288" w:lineRule="auto"/>
              <w:jc w:val="center"/>
              <w:rPr>
                <w:rFonts w:ascii="宋体" w:hAnsi="宋体"/>
                <w:bCs/>
                <w:color w:val="000000"/>
                <w:sz w:val="20"/>
                <w:szCs w:val="20"/>
              </w:rPr>
            </w:pPr>
          </w:p>
        </w:tc>
        <w:tc>
          <w:tcPr>
            <w:tcW w:w="2127" w:type="dxa"/>
          </w:tcPr>
          <w:p>
            <w:pPr>
              <w:snapToGrid w:val="0"/>
              <w:spacing w:line="288" w:lineRule="auto"/>
              <w:rPr>
                <w:rFonts w:ascii="宋体" w:hAnsi="宋体"/>
                <w:bCs/>
                <w:color w:val="000000"/>
                <w:sz w:val="20"/>
                <w:szCs w:val="20"/>
              </w:rPr>
            </w:pPr>
            <w:r>
              <w:rPr>
                <w:rFonts w:hint="eastAsia" w:ascii="宋体" w:hAnsi="宋体"/>
                <w:bCs/>
                <w:color w:val="000000"/>
                <w:sz w:val="20"/>
                <w:szCs w:val="20"/>
              </w:rPr>
              <w:t>1.掌握：护理人力资源管理的目标和特点、护理人员编制依据、护理人员排班以及薪酬的影响因素。</w:t>
            </w:r>
          </w:p>
          <w:p>
            <w:pPr>
              <w:snapToGrid w:val="0"/>
              <w:spacing w:line="288" w:lineRule="auto"/>
              <w:rPr>
                <w:rFonts w:ascii="宋体" w:hAnsi="宋体"/>
                <w:bCs/>
                <w:color w:val="000000"/>
                <w:sz w:val="20"/>
                <w:szCs w:val="20"/>
              </w:rPr>
            </w:pPr>
            <w:r>
              <w:rPr>
                <w:rFonts w:hint="eastAsia" w:ascii="宋体" w:hAnsi="宋体"/>
                <w:bCs/>
                <w:color w:val="000000"/>
                <w:sz w:val="20"/>
                <w:szCs w:val="20"/>
              </w:rPr>
              <w:t>2.熟悉：护理人力资源管理的内容、护理人才绩效考核的原则和方法、护理人才培训的内容和途径。</w:t>
            </w:r>
          </w:p>
          <w:p>
            <w:pPr>
              <w:snapToGrid w:val="0"/>
              <w:spacing w:line="288" w:lineRule="auto"/>
              <w:rPr>
                <w:rFonts w:ascii="宋体" w:hAnsi="宋体"/>
                <w:bCs/>
                <w:color w:val="000000"/>
                <w:sz w:val="20"/>
                <w:szCs w:val="20"/>
              </w:rPr>
            </w:pPr>
            <w:r>
              <w:rPr>
                <w:rFonts w:hint="eastAsia" w:ascii="宋体" w:hAnsi="宋体"/>
                <w:bCs/>
                <w:color w:val="000000"/>
                <w:sz w:val="20"/>
                <w:szCs w:val="20"/>
              </w:rPr>
              <w:t>3.了解：职业生涯的概念、护理人员排班类型以及护理人才绩效评价的作用。</w:t>
            </w:r>
          </w:p>
        </w:tc>
        <w:tc>
          <w:tcPr>
            <w:tcW w:w="1984" w:type="dxa"/>
          </w:tcPr>
          <w:p>
            <w:pPr>
              <w:snapToGrid w:val="0"/>
              <w:spacing w:line="288" w:lineRule="auto"/>
              <w:rPr>
                <w:rFonts w:ascii="宋体" w:hAnsi="Times New Roman"/>
                <w:b/>
                <w:color w:val="000000"/>
                <w:sz w:val="20"/>
                <w:szCs w:val="20"/>
              </w:rPr>
            </w:pPr>
            <w:r>
              <w:rPr>
                <w:rFonts w:hint="eastAsia" w:ascii="宋体" w:hAnsi="宋体"/>
                <w:bCs/>
                <w:color w:val="000000"/>
                <w:sz w:val="20"/>
                <w:szCs w:val="20"/>
              </w:rPr>
              <w:t>学会计算临床护理人员配置的数量。</w:t>
            </w:r>
          </w:p>
        </w:tc>
        <w:tc>
          <w:tcPr>
            <w:tcW w:w="1276" w:type="dxa"/>
          </w:tcPr>
          <w:p>
            <w:pPr>
              <w:snapToGrid w:val="0"/>
              <w:spacing w:line="288" w:lineRule="auto"/>
              <w:rPr>
                <w:rFonts w:ascii="宋体" w:hAnsi="Times New Roman"/>
                <w:b/>
                <w:color w:val="000000"/>
                <w:sz w:val="20"/>
                <w:szCs w:val="20"/>
              </w:rPr>
            </w:pPr>
            <w:r>
              <w:rPr>
                <w:rFonts w:hint="eastAsia" w:ascii="宋体" w:hAnsi="宋体"/>
                <w:bCs/>
                <w:color w:val="000000"/>
                <w:sz w:val="20"/>
                <w:szCs w:val="20"/>
              </w:rPr>
              <w:t>运用所学知识设计个人的职业发展规划。</w:t>
            </w:r>
          </w:p>
        </w:tc>
        <w:tc>
          <w:tcPr>
            <w:tcW w:w="1173" w:type="dxa"/>
          </w:tcPr>
          <w:p>
            <w:pPr>
              <w:rPr>
                <w:rFonts w:ascii="宋体" w:hAnsi="宋体"/>
                <w:color w:val="000000"/>
                <w:sz w:val="20"/>
                <w:szCs w:val="20"/>
              </w:rPr>
            </w:pPr>
            <w:r>
              <w:rPr>
                <w:rFonts w:hint="eastAsia" w:ascii="宋体" w:hAnsi="宋体"/>
                <w:bCs/>
                <w:color w:val="000000"/>
                <w:sz w:val="20"/>
                <w:szCs w:val="20"/>
              </w:rPr>
              <w:t>护理人员编制依据</w:t>
            </w:r>
          </w:p>
        </w:tc>
        <w:tc>
          <w:tcPr>
            <w:tcW w:w="709" w:type="dxa"/>
          </w:tcPr>
          <w:p>
            <w:pPr>
              <w:jc w:val="center"/>
              <w:rPr>
                <w:rFonts w:ascii="宋体" w:hAnsi="宋体"/>
                <w:color w:val="000000"/>
                <w:sz w:val="20"/>
                <w:szCs w:val="20"/>
              </w:rPr>
            </w:pPr>
            <w:r>
              <w:rPr>
                <w:rFonts w:hint="eastAsia" w:ascii="宋体" w:hAnsi="宋体"/>
                <w:color w:val="000000"/>
                <w:sz w:val="20"/>
                <w:szCs w:val="20"/>
              </w:rPr>
              <w:t>2</w:t>
            </w:r>
          </w:p>
        </w:tc>
        <w:tc>
          <w:tcPr>
            <w:tcW w:w="709" w:type="dxa"/>
          </w:tcPr>
          <w:p>
            <w:pPr>
              <w:jc w:val="center"/>
              <w:rPr>
                <w:rFonts w:ascii="宋体" w:hAnsi="宋体"/>
                <w:color w:val="000000"/>
                <w:sz w:val="20"/>
                <w:szCs w:val="20"/>
              </w:rPr>
            </w:pPr>
            <w:r>
              <w:rPr>
                <w:rFonts w:hint="eastAsia" w:ascii="宋体" w:hAnsi="宋体"/>
                <w:color w:val="000000"/>
                <w:sz w:val="20"/>
                <w:szCs w:val="20"/>
              </w:rPr>
              <w:t>0</w:t>
            </w:r>
          </w:p>
        </w:tc>
        <w:tc>
          <w:tcPr>
            <w:tcW w:w="527" w:type="dxa"/>
          </w:tcPr>
          <w:p>
            <w:pPr>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456" w:type="dxa"/>
            <w:vAlign w:val="center"/>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6</w:t>
            </w:r>
          </w:p>
        </w:tc>
        <w:tc>
          <w:tcPr>
            <w:tcW w:w="515" w:type="dxa"/>
            <w:vAlign w:val="center"/>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领导工作</w:t>
            </w:r>
          </w:p>
        </w:tc>
        <w:tc>
          <w:tcPr>
            <w:tcW w:w="2127" w:type="dxa"/>
          </w:tcPr>
          <w:p>
            <w:pPr>
              <w:snapToGrid w:val="0"/>
              <w:spacing w:line="288" w:lineRule="auto"/>
              <w:rPr>
                <w:rFonts w:ascii="宋体" w:hAnsi="宋体"/>
                <w:bCs/>
                <w:color w:val="000000"/>
                <w:sz w:val="20"/>
                <w:szCs w:val="20"/>
              </w:rPr>
            </w:pPr>
            <w:r>
              <w:rPr>
                <w:rFonts w:hint="eastAsia" w:ascii="宋体" w:hAnsi="宋体"/>
                <w:bCs/>
                <w:color w:val="000000"/>
                <w:sz w:val="20"/>
                <w:szCs w:val="20"/>
              </w:rPr>
              <w:t>1.掌握：领导者影响力的分类及来源，授权、决策的原则，授权及创新的基本步骤。</w:t>
            </w:r>
          </w:p>
          <w:p>
            <w:pPr>
              <w:snapToGrid w:val="0"/>
              <w:spacing w:line="288" w:lineRule="auto"/>
              <w:rPr>
                <w:rFonts w:ascii="宋体" w:hAnsi="宋体"/>
                <w:bCs/>
                <w:color w:val="000000"/>
                <w:sz w:val="20"/>
                <w:szCs w:val="20"/>
              </w:rPr>
            </w:pPr>
            <w:r>
              <w:rPr>
                <w:rFonts w:hint="eastAsia" w:ascii="宋体" w:hAnsi="宋体"/>
                <w:bCs/>
                <w:color w:val="000000"/>
                <w:sz w:val="20"/>
                <w:szCs w:val="20"/>
              </w:rPr>
              <w:t>2.熟悉：领导者应具备的基本素质。</w:t>
            </w:r>
          </w:p>
          <w:p>
            <w:pPr>
              <w:snapToGrid w:val="0"/>
              <w:spacing w:line="288" w:lineRule="auto"/>
              <w:rPr>
                <w:rFonts w:ascii="宋体" w:hAnsi="宋体"/>
                <w:bCs/>
                <w:color w:val="000000"/>
                <w:sz w:val="20"/>
                <w:szCs w:val="20"/>
              </w:rPr>
            </w:pPr>
            <w:r>
              <w:rPr>
                <w:rFonts w:hint="eastAsia" w:ascii="宋体" w:hAnsi="宋体"/>
                <w:bCs/>
                <w:color w:val="000000"/>
                <w:sz w:val="20"/>
                <w:szCs w:val="20"/>
              </w:rPr>
              <w:t>3.了解：领导基本理论。</w:t>
            </w:r>
          </w:p>
        </w:tc>
        <w:tc>
          <w:tcPr>
            <w:tcW w:w="1984" w:type="dxa"/>
          </w:tcPr>
          <w:p>
            <w:pPr>
              <w:snapToGrid w:val="0"/>
              <w:spacing w:line="288" w:lineRule="auto"/>
              <w:rPr>
                <w:rFonts w:ascii="宋体" w:hAnsi="宋体"/>
                <w:bCs/>
                <w:color w:val="000000"/>
                <w:sz w:val="20"/>
                <w:szCs w:val="20"/>
              </w:rPr>
            </w:pPr>
            <w:r>
              <w:rPr>
                <w:rFonts w:hint="eastAsia" w:ascii="宋体" w:hAnsi="宋体"/>
                <w:bCs/>
                <w:color w:val="000000"/>
                <w:sz w:val="20"/>
                <w:szCs w:val="20"/>
              </w:rPr>
              <w:t>学会运用领导理论、艺术分析解决实际问题。</w:t>
            </w:r>
          </w:p>
          <w:p>
            <w:pPr>
              <w:snapToGrid w:val="0"/>
              <w:spacing w:line="288" w:lineRule="auto"/>
              <w:rPr>
                <w:rFonts w:ascii="宋体" w:hAnsi="Times New Roman"/>
                <w:b/>
                <w:color w:val="000000"/>
                <w:sz w:val="20"/>
                <w:szCs w:val="20"/>
              </w:rPr>
            </w:pPr>
          </w:p>
        </w:tc>
        <w:tc>
          <w:tcPr>
            <w:tcW w:w="1276" w:type="dxa"/>
          </w:tcPr>
          <w:p>
            <w:pPr>
              <w:snapToGrid w:val="0"/>
              <w:spacing w:line="288" w:lineRule="auto"/>
              <w:rPr>
                <w:rFonts w:ascii="宋体" w:hAnsi="宋体"/>
                <w:bCs/>
                <w:color w:val="000000"/>
                <w:sz w:val="20"/>
                <w:szCs w:val="20"/>
              </w:rPr>
            </w:pPr>
            <w:r>
              <w:rPr>
                <w:rFonts w:hint="eastAsia" w:ascii="宋体" w:hAnsi="宋体"/>
                <w:bCs/>
                <w:color w:val="000000"/>
                <w:sz w:val="20"/>
                <w:szCs w:val="20"/>
              </w:rPr>
              <w:t>具有良好护患沟通能力。</w:t>
            </w:r>
          </w:p>
          <w:p>
            <w:pPr>
              <w:snapToGrid w:val="0"/>
              <w:spacing w:line="288" w:lineRule="auto"/>
              <w:rPr>
                <w:rFonts w:ascii="宋体" w:hAnsi="Times New Roman"/>
                <w:b/>
                <w:color w:val="000000"/>
                <w:sz w:val="20"/>
                <w:szCs w:val="20"/>
              </w:rPr>
            </w:pPr>
          </w:p>
        </w:tc>
        <w:tc>
          <w:tcPr>
            <w:tcW w:w="1173" w:type="dxa"/>
          </w:tcPr>
          <w:p>
            <w:pPr>
              <w:rPr>
                <w:rFonts w:ascii="宋体" w:hAnsi="宋体"/>
                <w:color w:val="000000"/>
                <w:sz w:val="20"/>
                <w:szCs w:val="20"/>
              </w:rPr>
            </w:pPr>
            <w:r>
              <w:rPr>
                <w:rFonts w:hint="eastAsia" w:ascii="宋体" w:hAnsi="宋体"/>
                <w:bCs/>
                <w:color w:val="000000"/>
                <w:sz w:val="20"/>
                <w:szCs w:val="20"/>
              </w:rPr>
              <w:t>授权及创新的基本步骤</w:t>
            </w:r>
          </w:p>
        </w:tc>
        <w:tc>
          <w:tcPr>
            <w:tcW w:w="709" w:type="dxa"/>
          </w:tcPr>
          <w:p>
            <w:pPr>
              <w:jc w:val="center"/>
              <w:rPr>
                <w:rFonts w:ascii="宋体" w:hAnsi="宋体"/>
                <w:color w:val="000000"/>
                <w:sz w:val="20"/>
                <w:szCs w:val="20"/>
              </w:rPr>
            </w:pPr>
            <w:r>
              <w:rPr>
                <w:rFonts w:hint="eastAsia" w:ascii="宋体" w:hAnsi="宋体"/>
                <w:color w:val="000000"/>
                <w:sz w:val="20"/>
                <w:szCs w:val="20"/>
              </w:rPr>
              <w:t>1</w:t>
            </w:r>
          </w:p>
        </w:tc>
        <w:tc>
          <w:tcPr>
            <w:tcW w:w="709" w:type="dxa"/>
          </w:tcPr>
          <w:p>
            <w:pPr>
              <w:jc w:val="center"/>
              <w:rPr>
                <w:rFonts w:ascii="宋体" w:hAnsi="宋体"/>
                <w:color w:val="000000"/>
                <w:sz w:val="20"/>
                <w:szCs w:val="20"/>
              </w:rPr>
            </w:pPr>
            <w:r>
              <w:rPr>
                <w:rFonts w:hint="eastAsia" w:ascii="宋体" w:hAnsi="宋体"/>
                <w:color w:val="000000"/>
                <w:sz w:val="20"/>
                <w:szCs w:val="20"/>
              </w:rPr>
              <w:t>0</w:t>
            </w:r>
          </w:p>
        </w:tc>
        <w:tc>
          <w:tcPr>
            <w:tcW w:w="527" w:type="dxa"/>
          </w:tcPr>
          <w:p>
            <w:pPr>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jc w:val="center"/>
        </w:trPr>
        <w:tc>
          <w:tcPr>
            <w:tcW w:w="456" w:type="dxa"/>
            <w:vAlign w:val="center"/>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7</w:t>
            </w:r>
          </w:p>
        </w:tc>
        <w:tc>
          <w:tcPr>
            <w:tcW w:w="515" w:type="dxa"/>
            <w:vAlign w:val="center"/>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控制</w:t>
            </w:r>
          </w:p>
        </w:tc>
        <w:tc>
          <w:tcPr>
            <w:tcW w:w="2127" w:type="dxa"/>
          </w:tcPr>
          <w:p>
            <w:pPr>
              <w:snapToGrid w:val="0"/>
              <w:spacing w:line="288" w:lineRule="auto"/>
              <w:rPr>
                <w:rFonts w:ascii="宋体" w:hAnsi="宋体"/>
                <w:bCs/>
                <w:color w:val="000000"/>
                <w:sz w:val="20"/>
                <w:szCs w:val="20"/>
              </w:rPr>
            </w:pPr>
            <w:r>
              <w:rPr>
                <w:rFonts w:hint="eastAsia" w:ascii="宋体" w:hAnsi="宋体"/>
                <w:bCs/>
                <w:color w:val="000000"/>
                <w:sz w:val="20"/>
                <w:szCs w:val="20"/>
              </w:rPr>
              <w:t>1.掌握：控制的概念、控制的功能、基本原则、控制的程序及控制的方式。</w:t>
            </w:r>
          </w:p>
          <w:p>
            <w:pPr>
              <w:snapToGrid w:val="0"/>
              <w:spacing w:line="288" w:lineRule="auto"/>
              <w:rPr>
                <w:rFonts w:ascii="宋体" w:hAnsi="宋体"/>
                <w:bCs/>
                <w:color w:val="000000"/>
                <w:sz w:val="20"/>
                <w:szCs w:val="20"/>
              </w:rPr>
            </w:pPr>
            <w:r>
              <w:rPr>
                <w:rFonts w:hint="eastAsia" w:ascii="宋体" w:hAnsi="宋体"/>
                <w:bCs/>
                <w:color w:val="000000"/>
                <w:sz w:val="20"/>
                <w:szCs w:val="20"/>
              </w:rPr>
              <w:t>2.熟悉：控制在护理安全管理中的应用。</w:t>
            </w:r>
          </w:p>
          <w:p>
            <w:pPr>
              <w:snapToGrid w:val="0"/>
              <w:spacing w:line="288" w:lineRule="auto"/>
              <w:rPr>
                <w:rFonts w:ascii="宋体" w:hAnsi="宋体"/>
                <w:bCs/>
                <w:color w:val="000000"/>
                <w:sz w:val="20"/>
                <w:szCs w:val="20"/>
              </w:rPr>
            </w:pPr>
            <w:r>
              <w:rPr>
                <w:rFonts w:hint="eastAsia" w:ascii="宋体" w:hAnsi="宋体"/>
                <w:bCs/>
                <w:color w:val="000000"/>
                <w:sz w:val="20"/>
                <w:szCs w:val="20"/>
              </w:rPr>
              <w:t>3.了解：护理成本控制。</w:t>
            </w:r>
          </w:p>
        </w:tc>
        <w:tc>
          <w:tcPr>
            <w:tcW w:w="1984" w:type="dxa"/>
          </w:tcPr>
          <w:p>
            <w:pPr>
              <w:snapToGrid w:val="0"/>
              <w:spacing w:line="288" w:lineRule="auto"/>
              <w:rPr>
                <w:rFonts w:ascii="宋体" w:hAnsi="Times New Roman"/>
                <w:b/>
                <w:color w:val="000000"/>
                <w:sz w:val="20"/>
                <w:szCs w:val="20"/>
              </w:rPr>
            </w:pPr>
            <w:r>
              <w:rPr>
                <w:rFonts w:hint="eastAsia" w:ascii="宋体" w:hAnsi="宋体"/>
                <w:bCs/>
                <w:color w:val="000000"/>
                <w:sz w:val="20"/>
                <w:szCs w:val="20"/>
              </w:rPr>
              <w:t>学会运用控制理论解决护理安全管理中存在的问题。</w:t>
            </w:r>
          </w:p>
        </w:tc>
        <w:tc>
          <w:tcPr>
            <w:tcW w:w="1276" w:type="dxa"/>
          </w:tcPr>
          <w:p>
            <w:pPr>
              <w:snapToGrid w:val="0"/>
              <w:spacing w:line="288" w:lineRule="auto"/>
              <w:rPr>
                <w:rFonts w:ascii="宋体" w:hAnsi="Times New Roman"/>
                <w:b/>
                <w:color w:val="000000"/>
                <w:sz w:val="20"/>
                <w:szCs w:val="20"/>
              </w:rPr>
            </w:pPr>
            <w:r>
              <w:rPr>
                <w:rFonts w:hint="eastAsia" w:ascii="宋体" w:hAnsi="宋体"/>
                <w:bCs/>
                <w:color w:val="000000"/>
                <w:sz w:val="20"/>
                <w:szCs w:val="20"/>
              </w:rPr>
              <w:t>具有危机事件控制和处理的能力。</w:t>
            </w:r>
          </w:p>
        </w:tc>
        <w:tc>
          <w:tcPr>
            <w:tcW w:w="1173" w:type="dxa"/>
          </w:tcPr>
          <w:p>
            <w:pPr>
              <w:rPr>
                <w:rFonts w:ascii="宋体" w:hAnsi="宋体"/>
                <w:color w:val="000000"/>
                <w:sz w:val="20"/>
                <w:szCs w:val="20"/>
              </w:rPr>
            </w:pPr>
            <w:r>
              <w:rPr>
                <w:rFonts w:hint="eastAsia" w:ascii="宋体" w:hAnsi="宋体"/>
                <w:bCs/>
                <w:color w:val="000000"/>
                <w:sz w:val="20"/>
                <w:szCs w:val="20"/>
              </w:rPr>
              <w:t>控制在护理安全管理中的应用</w:t>
            </w:r>
          </w:p>
        </w:tc>
        <w:tc>
          <w:tcPr>
            <w:tcW w:w="709" w:type="dxa"/>
          </w:tcPr>
          <w:p>
            <w:pPr>
              <w:jc w:val="center"/>
              <w:rPr>
                <w:rFonts w:ascii="宋体" w:hAnsi="宋体"/>
                <w:color w:val="000000"/>
                <w:sz w:val="20"/>
                <w:szCs w:val="20"/>
              </w:rPr>
            </w:pPr>
            <w:r>
              <w:rPr>
                <w:rFonts w:hint="eastAsia" w:ascii="宋体" w:hAnsi="宋体"/>
                <w:color w:val="000000"/>
                <w:sz w:val="20"/>
                <w:szCs w:val="20"/>
              </w:rPr>
              <w:t>1</w:t>
            </w:r>
          </w:p>
        </w:tc>
        <w:tc>
          <w:tcPr>
            <w:tcW w:w="709" w:type="dxa"/>
          </w:tcPr>
          <w:p>
            <w:pPr>
              <w:jc w:val="center"/>
              <w:rPr>
                <w:rFonts w:ascii="宋体" w:hAnsi="宋体"/>
                <w:color w:val="000000"/>
                <w:sz w:val="20"/>
                <w:szCs w:val="20"/>
              </w:rPr>
            </w:pPr>
            <w:r>
              <w:rPr>
                <w:rFonts w:hint="eastAsia" w:ascii="宋体" w:hAnsi="宋体"/>
                <w:color w:val="000000"/>
                <w:sz w:val="20"/>
                <w:szCs w:val="20"/>
              </w:rPr>
              <w:t>0</w:t>
            </w:r>
          </w:p>
        </w:tc>
        <w:tc>
          <w:tcPr>
            <w:tcW w:w="527" w:type="dxa"/>
          </w:tcPr>
          <w:p>
            <w:pPr>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56" w:type="dxa"/>
            <w:vAlign w:val="center"/>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8</w:t>
            </w:r>
          </w:p>
        </w:tc>
        <w:tc>
          <w:tcPr>
            <w:tcW w:w="515" w:type="dxa"/>
            <w:vAlign w:val="center"/>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护理质量管理</w:t>
            </w:r>
          </w:p>
        </w:tc>
        <w:tc>
          <w:tcPr>
            <w:tcW w:w="2127" w:type="dxa"/>
          </w:tcPr>
          <w:p>
            <w:pPr>
              <w:snapToGrid w:val="0"/>
              <w:spacing w:line="288" w:lineRule="auto"/>
              <w:rPr>
                <w:rFonts w:ascii="宋体" w:hAnsi="宋体"/>
                <w:bCs/>
                <w:color w:val="000000"/>
                <w:sz w:val="20"/>
                <w:szCs w:val="20"/>
              </w:rPr>
            </w:pPr>
            <w:r>
              <w:rPr>
                <w:rFonts w:hint="eastAsia" w:ascii="宋体" w:hAnsi="宋体"/>
                <w:bCs/>
                <w:color w:val="000000"/>
                <w:sz w:val="20"/>
                <w:szCs w:val="20"/>
              </w:rPr>
              <w:t>1.掌握：护理质量管理的概念、原则；护理质量标准的类型；护理质量缺陷的原因及管理措施。</w:t>
            </w:r>
          </w:p>
          <w:p>
            <w:pPr>
              <w:snapToGrid w:val="0"/>
              <w:spacing w:line="288" w:lineRule="auto"/>
              <w:rPr>
                <w:rFonts w:ascii="宋体" w:hAnsi="宋体"/>
                <w:bCs/>
                <w:color w:val="000000"/>
                <w:sz w:val="20"/>
                <w:szCs w:val="20"/>
              </w:rPr>
            </w:pPr>
            <w:r>
              <w:rPr>
                <w:rFonts w:hint="eastAsia" w:ascii="宋体" w:hAnsi="宋体"/>
                <w:bCs/>
                <w:color w:val="000000"/>
                <w:sz w:val="20"/>
                <w:szCs w:val="20"/>
              </w:rPr>
              <w:t>2.熟悉：护理质量管理的任务；差错、事故的概念及分类。</w:t>
            </w:r>
          </w:p>
          <w:p>
            <w:pPr>
              <w:snapToGrid w:val="0"/>
              <w:spacing w:line="288" w:lineRule="auto"/>
              <w:rPr>
                <w:rFonts w:ascii="宋体" w:hAnsi="宋体"/>
                <w:bCs/>
                <w:color w:val="000000"/>
                <w:sz w:val="20"/>
                <w:szCs w:val="20"/>
              </w:rPr>
            </w:pPr>
            <w:r>
              <w:rPr>
                <w:rFonts w:hint="eastAsia" w:ascii="宋体" w:hAnsi="宋体"/>
                <w:bCs/>
                <w:color w:val="000000"/>
                <w:sz w:val="20"/>
                <w:szCs w:val="20"/>
              </w:rPr>
              <w:t>3.了解：护理差错的评定标准。</w:t>
            </w:r>
          </w:p>
        </w:tc>
        <w:tc>
          <w:tcPr>
            <w:tcW w:w="1984" w:type="dxa"/>
          </w:tcPr>
          <w:p>
            <w:pPr>
              <w:snapToGrid w:val="0"/>
              <w:spacing w:line="288" w:lineRule="auto"/>
              <w:rPr>
                <w:rFonts w:ascii="宋体" w:hAnsi="Times New Roman"/>
                <w:b/>
                <w:color w:val="000000"/>
                <w:sz w:val="20"/>
                <w:szCs w:val="20"/>
              </w:rPr>
            </w:pPr>
            <w:r>
              <w:rPr>
                <w:rFonts w:hint="eastAsia" w:ascii="宋体" w:hAnsi="宋体"/>
                <w:bCs/>
                <w:color w:val="000000"/>
                <w:sz w:val="20"/>
                <w:szCs w:val="20"/>
              </w:rPr>
              <w:t>学会运用PDCA循环、品管圈分析解决实际问题。</w:t>
            </w:r>
          </w:p>
        </w:tc>
        <w:tc>
          <w:tcPr>
            <w:tcW w:w="1276" w:type="dxa"/>
          </w:tcPr>
          <w:p>
            <w:pPr>
              <w:snapToGrid w:val="0"/>
              <w:spacing w:line="288" w:lineRule="auto"/>
              <w:rPr>
                <w:rFonts w:ascii="宋体" w:hAnsi="宋体"/>
                <w:bCs/>
                <w:color w:val="000000"/>
                <w:sz w:val="20"/>
                <w:szCs w:val="20"/>
              </w:rPr>
            </w:pPr>
            <w:r>
              <w:rPr>
                <w:rFonts w:hint="eastAsia" w:ascii="宋体" w:hAnsi="宋体"/>
                <w:bCs/>
                <w:color w:val="000000"/>
                <w:sz w:val="20"/>
                <w:szCs w:val="20"/>
              </w:rPr>
              <w:t>具有质量管理的意识和基本能力。</w:t>
            </w:r>
          </w:p>
          <w:p>
            <w:pPr>
              <w:snapToGrid w:val="0"/>
              <w:spacing w:line="288" w:lineRule="auto"/>
              <w:rPr>
                <w:rFonts w:ascii="宋体" w:hAnsi="Times New Roman"/>
                <w:b/>
                <w:color w:val="000000"/>
                <w:sz w:val="20"/>
                <w:szCs w:val="20"/>
              </w:rPr>
            </w:pPr>
          </w:p>
        </w:tc>
        <w:tc>
          <w:tcPr>
            <w:tcW w:w="1173" w:type="dxa"/>
          </w:tcPr>
          <w:p>
            <w:pPr>
              <w:rPr>
                <w:rFonts w:ascii="宋体" w:hAnsi="宋体"/>
                <w:color w:val="000000"/>
                <w:sz w:val="20"/>
                <w:szCs w:val="20"/>
              </w:rPr>
            </w:pPr>
            <w:r>
              <w:rPr>
                <w:rFonts w:hint="eastAsia" w:ascii="宋体" w:hAnsi="宋体"/>
                <w:bCs/>
                <w:color w:val="000000"/>
                <w:sz w:val="20"/>
                <w:szCs w:val="20"/>
              </w:rPr>
              <w:t>护理质量缺陷的原因及管理措施</w:t>
            </w:r>
          </w:p>
        </w:tc>
        <w:tc>
          <w:tcPr>
            <w:tcW w:w="709" w:type="dxa"/>
          </w:tcPr>
          <w:p>
            <w:pPr>
              <w:jc w:val="center"/>
              <w:rPr>
                <w:rFonts w:ascii="宋体" w:hAnsi="宋体"/>
                <w:color w:val="000000"/>
                <w:sz w:val="20"/>
                <w:szCs w:val="20"/>
              </w:rPr>
            </w:pPr>
            <w:r>
              <w:rPr>
                <w:rFonts w:hint="eastAsia" w:ascii="宋体" w:hAnsi="宋体"/>
                <w:color w:val="000000"/>
                <w:sz w:val="20"/>
                <w:szCs w:val="20"/>
              </w:rPr>
              <w:t>2</w:t>
            </w:r>
          </w:p>
        </w:tc>
        <w:tc>
          <w:tcPr>
            <w:tcW w:w="709" w:type="dxa"/>
          </w:tcPr>
          <w:p>
            <w:pPr>
              <w:jc w:val="center"/>
              <w:rPr>
                <w:rFonts w:ascii="宋体" w:hAnsi="宋体"/>
                <w:color w:val="000000"/>
                <w:sz w:val="20"/>
                <w:szCs w:val="20"/>
              </w:rPr>
            </w:pPr>
            <w:r>
              <w:rPr>
                <w:rFonts w:hint="eastAsia" w:ascii="宋体" w:hAnsi="宋体"/>
                <w:color w:val="000000"/>
                <w:sz w:val="20"/>
                <w:szCs w:val="20"/>
              </w:rPr>
              <w:t>0</w:t>
            </w:r>
          </w:p>
        </w:tc>
        <w:tc>
          <w:tcPr>
            <w:tcW w:w="527" w:type="dxa"/>
          </w:tcPr>
          <w:p>
            <w:pPr>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56" w:type="dxa"/>
            <w:vAlign w:val="center"/>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9</w:t>
            </w:r>
          </w:p>
        </w:tc>
        <w:tc>
          <w:tcPr>
            <w:tcW w:w="515" w:type="dxa"/>
            <w:vAlign w:val="center"/>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护理业务技术管理与护理教学科研管理</w:t>
            </w:r>
          </w:p>
          <w:p>
            <w:pPr>
              <w:snapToGrid w:val="0"/>
              <w:spacing w:line="288" w:lineRule="auto"/>
              <w:jc w:val="center"/>
              <w:rPr>
                <w:rFonts w:ascii="宋体" w:hAnsi="宋体"/>
                <w:bCs/>
                <w:color w:val="000000"/>
                <w:sz w:val="20"/>
                <w:szCs w:val="20"/>
              </w:rPr>
            </w:pPr>
          </w:p>
        </w:tc>
        <w:tc>
          <w:tcPr>
            <w:tcW w:w="2127" w:type="dxa"/>
          </w:tcPr>
          <w:p>
            <w:pPr>
              <w:snapToGrid w:val="0"/>
              <w:spacing w:line="288" w:lineRule="auto"/>
              <w:rPr>
                <w:rFonts w:ascii="宋体" w:hAnsi="宋体"/>
                <w:bCs/>
                <w:color w:val="000000"/>
                <w:sz w:val="20"/>
                <w:szCs w:val="20"/>
              </w:rPr>
            </w:pPr>
            <w:r>
              <w:rPr>
                <w:rFonts w:hint="eastAsia" w:ascii="宋体" w:hAnsi="宋体"/>
                <w:bCs/>
                <w:color w:val="000000"/>
                <w:sz w:val="20"/>
                <w:szCs w:val="20"/>
              </w:rPr>
              <w:t>1.掌握：护理业务技术管理的内容、方法。</w:t>
            </w:r>
          </w:p>
          <w:p>
            <w:pPr>
              <w:snapToGrid w:val="0"/>
              <w:spacing w:line="288" w:lineRule="auto"/>
              <w:rPr>
                <w:rFonts w:ascii="宋体" w:hAnsi="宋体"/>
                <w:bCs/>
                <w:color w:val="000000"/>
                <w:sz w:val="20"/>
                <w:szCs w:val="20"/>
              </w:rPr>
            </w:pPr>
            <w:r>
              <w:rPr>
                <w:rFonts w:hint="eastAsia" w:ascii="宋体" w:hAnsi="宋体"/>
                <w:bCs/>
                <w:color w:val="000000"/>
                <w:sz w:val="20"/>
                <w:szCs w:val="20"/>
              </w:rPr>
              <w:t>2.熟悉：护理教学、科研管理的内容</w:t>
            </w:r>
          </w:p>
          <w:p>
            <w:pPr>
              <w:snapToGrid w:val="0"/>
              <w:spacing w:line="288" w:lineRule="auto"/>
              <w:rPr>
                <w:rFonts w:ascii="宋体" w:hAnsi="宋体"/>
                <w:bCs/>
                <w:color w:val="000000"/>
                <w:sz w:val="20"/>
                <w:szCs w:val="20"/>
              </w:rPr>
            </w:pPr>
            <w:r>
              <w:rPr>
                <w:rFonts w:hint="eastAsia" w:ascii="宋体" w:hAnsi="宋体"/>
                <w:bCs/>
                <w:color w:val="000000"/>
                <w:sz w:val="20"/>
                <w:szCs w:val="20"/>
              </w:rPr>
              <w:t>3.了解：护理科研管理的意义。</w:t>
            </w:r>
          </w:p>
          <w:p>
            <w:pPr>
              <w:snapToGrid w:val="0"/>
              <w:spacing w:line="288" w:lineRule="auto"/>
              <w:rPr>
                <w:rFonts w:ascii="宋体" w:hAnsi="宋体"/>
                <w:bCs/>
                <w:color w:val="000000"/>
                <w:sz w:val="20"/>
                <w:szCs w:val="20"/>
              </w:rPr>
            </w:pPr>
          </w:p>
        </w:tc>
        <w:tc>
          <w:tcPr>
            <w:tcW w:w="1984" w:type="dxa"/>
          </w:tcPr>
          <w:p>
            <w:pPr>
              <w:snapToGrid w:val="0"/>
              <w:spacing w:line="288" w:lineRule="auto"/>
              <w:rPr>
                <w:rFonts w:ascii="宋体" w:hAnsi="Times New Roman"/>
                <w:b/>
                <w:color w:val="000000"/>
                <w:sz w:val="20"/>
                <w:szCs w:val="20"/>
              </w:rPr>
            </w:pPr>
            <w:r>
              <w:rPr>
                <w:rFonts w:hint="eastAsia" w:ascii="宋体" w:hAnsi="宋体"/>
                <w:bCs/>
                <w:color w:val="000000"/>
                <w:sz w:val="20"/>
                <w:szCs w:val="20"/>
              </w:rPr>
              <w:t>学会护理业务技术管理的方法。</w:t>
            </w:r>
          </w:p>
        </w:tc>
        <w:tc>
          <w:tcPr>
            <w:tcW w:w="1276" w:type="dxa"/>
          </w:tcPr>
          <w:p>
            <w:pPr>
              <w:snapToGrid w:val="0"/>
              <w:spacing w:line="288" w:lineRule="auto"/>
              <w:rPr>
                <w:rFonts w:ascii="宋体" w:hAnsi="Times New Roman"/>
                <w:b/>
                <w:color w:val="000000"/>
                <w:sz w:val="20"/>
                <w:szCs w:val="20"/>
              </w:rPr>
            </w:pPr>
            <w:r>
              <w:rPr>
                <w:rFonts w:hint="eastAsia" w:ascii="宋体" w:hAnsi="宋体"/>
                <w:bCs/>
                <w:color w:val="000000"/>
                <w:sz w:val="20"/>
                <w:szCs w:val="20"/>
              </w:rPr>
              <w:t>具有进行护理科学研究的能力。</w:t>
            </w:r>
          </w:p>
        </w:tc>
        <w:tc>
          <w:tcPr>
            <w:tcW w:w="1173" w:type="dxa"/>
          </w:tcPr>
          <w:p>
            <w:pPr>
              <w:rPr>
                <w:rFonts w:ascii="宋体" w:hAnsi="宋体"/>
                <w:color w:val="000000"/>
                <w:sz w:val="20"/>
                <w:szCs w:val="20"/>
              </w:rPr>
            </w:pPr>
            <w:r>
              <w:rPr>
                <w:rFonts w:hint="eastAsia" w:ascii="宋体" w:hAnsi="宋体"/>
                <w:bCs/>
                <w:color w:val="000000"/>
                <w:sz w:val="20"/>
                <w:szCs w:val="20"/>
              </w:rPr>
              <w:t>护理业务技术管理的方法</w:t>
            </w:r>
          </w:p>
        </w:tc>
        <w:tc>
          <w:tcPr>
            <w:tcW w:w="709" w:type="dxa"/>
          </w:tcPr>
          <w:p>
            <w:pPr>
              <w:jc w:val="center"/>
              <w:rPr>
                <w:rFonts w:ascii="宋体" w:hAnsi="宋体"/>
                <w:color w:val="000000"/>
                <w:sz w:val="20"/>
                <w:szCs w:val="20"/>
              </w:rPr>
            </w:pPr>
            <w:r>
              <w:rPr>
                <w:rFonts w:hint="eastAsia" w:ascii="宋体" w:hAnsi="宋体"/>
                <w:color w:val="000000"/>
                <w:sz w:val="20"/>
                <w:szCs w:val="20"/>
              </w:rPr>
              <w:t>0.5</w:t>
            </w:r>
          </w:p>
        </w:tc>
        <w:tc>
          <w:tcPr>
            <w:tcW w:w="709" w:type="dxa"/>
          </w:tcPr>
          <w:p>
            <w:pPr>
              <w:jc w:val="center"/>
              <w:rPr>
                <w:rFonts w:ascii="宋体" w:hAnsi="宋体"/>
                <w:color w:val="000000"/>
                <w:sz w:val="20"/>
                <w:szCs w:val="20"/>
              </w:rPr>
            </w:pPr>
            <w:r>
              <w:rPr>
                <w:rFonts w:hint="eastAsia" w:ascii="宋体" w:hAnsi="宋体"/>
                <w:color w:val="000000"/>
                <w:sz w:val="20"/>
                <w:szCs w:val="20"/>
              </w:rPr>
              <w:t>0</w:t>
            </w:r>
          </w:p>
        </w:tc>
        <w:tc>
          <w:tcPr>
            <w:tcW w:w="527" w:type="dxa"/>
          </w:tcPr>
          <w:p>
            <w:pPr>
              <w:jc w:val="center"/>
              <w:rPr>
                <w:rFonts w:ascii="宋体" w:hAnsi="宋体"/>
                <w:color w:val="000000"/>
                <w:sz w:val="20"/>
                <w:szCs w:val="20"/>
              </w:rPr>
            </w:pPr>
            <w:r>
              <w:rPr>
                <w:rFonts w:hint="eastAsia" w:ascii="宋体" w:hAnsi="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56" w:type="dxa"/>
            <w:vAlign w:val="center"/>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10</w:t>
            </w:r>
          </w:p>
        </w:tc>
        <w:tc>
          <w:tcPr>
            <w:tcW w:w="515" w:type="dxa"/>
            <w:vAlign w:val="center"/>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护理信息管理</w:t>
            </w:r>
          </w:p>
        </w:tc>
        <w:tc>
          <w:tcPr>
            <w:tcW w:w="2127" w:type="dxa"/>
          </w:tcPr>
          <w:p>
            <w:pPr>
              <w:snapToGrid w:val="0"/>
              <w:spacing w:line="288" w:lineRule="auto"/>
              <w:rPr>
                <w:rFonts w:ascii="宋体" w:hAnsi="宋体"/>
                <w:bCs/>
                <w:color w:val="000000"/>
                <w:sz w:val="20"/>
                <w:szCs w:val="20"/>
              </w:rPr>
            </w:pPr>
            <w:r>
              <w:rPr>
                <w:rFonts w:hint="eastAsia" w:ascii="宋体" w:hAnsi="宋体"/>
                <w:bCs/>
                <w:color w:val="000000"/>
                <w:sz w:val="20"/>
                <w:szCs w:val="20"/>
              </w:rPr>
              <w:t>1.掌握：信息的概念、特征；护理信息的特征、收集方法。</w:t>
            </w:r>
          </w:p>
          <w:p>
            <w:pPr>
              <w:snapToGrid w:val="0"/>
              <w:spacing w:line="288" w:lineRule="auto"/>
              <w:rPr>
                <w:rFonts w:ascii="宋体" w:hAnsi="宋体"/>
                <w:bCs/>
                <w:color w:val="000000"/>
                <w:sz w:val="20"/>
                <w:szCs w:val="20"/>
              </w:rPr>
            </w:pPr>
            <w:r>
              <w:rPr>
                <w:rFonts w:hint="eastAsia" w:ascii="宋体" w:hAnsi="宋体"/>
                <w:bCs/>
                <w:color w:val="000000"/>
                <w:sz w:val="20"/>
                <w:szCs w:val="20"/>
              </w:rPr>
              <w:t>2.熟悉：护理信息的分类及护理信息管理的措施。</w:t>
            </w:r>
          </w:p>
          <w:p>
            <w:pPr>
              <w:snapToGrid w:val="0"/>
              <w:spacing w:line="288" w:lineRule="auto"/>
              <w:rPr>
                <w:rFonts w:ascii="宋体" w:hAnsi="宋体"/>
                <w:bCs/>
                <w:color w:val="000000"/>
                <w:sz w:val="20"/>
                <w:szCs w:val="20"/>
              </w:rPr>
            </w:pPr>
            <w:r>
              <w:rPr>
                <w:rFonts w:hint="eastAsia" w:ascii="宋体" w:hAnsi="宋体"/>
                <w:bCs/>
                <w:color w:val="000000"/>
                <w:sz w:val="20"/>
                <w:szCs w:val="20"/>
              </w:rPr>
              <w:t>3.了解：医院信息系统的概念、功能及构成。</w:t>
            </w:r>
          </w:p>
          <w:p>
            <w:pPr>
              <w:snapToGrid w:val="0"/>
              <w:spacing w:line="288" w:lineRule="auto"/>
              <w:rPr>
                <w:rFonts w:ascii="宋体" w:hAnsi="宋体"/>
                <w:bCs/>
                <w:color w:val="000000"/>
                <w:sz w:val="20"/>
                <w:szCs w:val="20"/>
              </w:rPr>
            </w:pPr>
          </w:p>
        </w:tc>
        <w:tc>
          <w:tcPr>
            <w:tcW w:w="1984" w:type="dxa"/>
          </w:tcPr>
          <w:p>
            <w:pPr>
              <w:snapToGrid w:val="0"/>
              <w:spacing w:line="288" w:lineRule="auto"/>
              <w:rPr>
                <w:rFonts w:ascii="宋体" w:hAnsi="Times New Roman"/>
                <w:b/>
                <w:color w:val="000000"/>
                <w:sz w:val="20"/>
                <w:szCs w:val="20"/>
              </w:rPr>
            </w:pPr>
            <w:r>
              <w:rPr>
                <w:rFonts w:hint="eastAsia" w:ascii="宋体" w:hAnsi="宋体"/>
                <w:bCs/>
                <w:color w:val="000000"/>
                <w:sz w:val="20"/>
                <w:szCs w:val="20"/>
              </w:rPr>
              <w:t>学会操作使用护理信息系统及医院信息系统。</w:t>
            </w:r>
          </w:p>
        </w:tc>
        <w:tc>
          <w:tcPr>
            <w:tcW w:w="1276" w:type="dxa"/>
          </w:tcPr>
          <w:p>
            <w:pPr>
              <w:snapToGrid w:val="0"/>
              <w:spacing w:line="288" w:lineRule="auto"/>
              <w:rPr>
                <w:rFonts w:ascii="宋体" w:hAnsi="Times New Roman"/>
                <w:b/>
                <w:color w:val="000000"/>
                <w:sz w:val="20"/>
                <w:szCs w:val="20"/>
              </w:rPr>
            </w:pPr>
            <w:r>
              <w:rPr>
                <w:rFonts w:hint="eastAsia" w:ascii="宋体" w:hAnsi="宋体"/>
                <w:bCs/>
                <w:color w:val="000000"/>
                <w:sz w:val="20"/>
                <w:szCs w:val="20"/>
              </w:rPr>
              <w:t>具有对护理信息收集、分析、归纳、判断和运用的能力。</w:t>
            </w:r>
          </w:p>
        </w:tc>
        <w:tc>
          <w:tcPr>
            <w:tcW w:w="1173" w:type="dxa"/>
          </w:tcPr>
          <w:p>
            <w:pPr>
              <w:snapToGrid w:val="0"/>
              <w:spacing w:line="288" w:lineRule="auto"/>
              <w:rPr>
                <w:rFonts w:ascii="宋体" w:hAnsi="宋体"/>
                <w:bCs/>
                <w:color w:val="000000"/>
                <w:sz w:val="20"/>
                <w:szCs w:val="20"/>
              </w:rPr>
            </w:pPr>
            <w:r>
              <w:rPr>
                <w:rFonts w:hint="eastAsia" w:ascii="宋体" w:hAnsi="宋体"/>
                <w:bCs/>
                <w:color w:val="000000"/>
                <w:sz w:val="20"/>
                <w:szCs w:val="20"/>
              </w:rPr>
              <w:t>护理信息管理的措施</w:t>
            </w:r>
          </w:p>
          <w:p>
            <w:pPr>
              <w:rPr>
                <w:rFonts w:ascii="宋体" w:hAnsi="宋体"/>
                <w:color w:val="000000"/>
                <w:sz w:val="20"/>
                <w:szCs w:val="20"/>
              </w:rPr>
            </w:pPr>
          </w:p>
        </w:tc>
        <w:tc>
          <w:tcPr>
            <w:tcW w:w="709" w:type="dxa"/>
          </w:tcPr>
          <w:p>
            <w:pPr>
              <w:jc w:val="center"/>
              <w:rPr>
                <w:rFonts w:ascii="宋体" w:hAnsi="宋体"/>
                <w:color w:val="000000"/>
                <w:sz w:val="20"/>
                <w:szCs w:val="20"/>
              </w:rPr>
            </w:pPr>
            <w:r>
              <w:rPr>
                <w:rFonts w:hint="eastAsia" w:ascii="宋体" w:hAnsi="宋体"/>
                <w:color w:val="000000"/>
                <w:sz w:val="20"/>
                <w:szCs w:val="20"/>
              </w:rPr>
              <w:t>0.5</w:t>
            </w:r>
          </w:p>
        </w:tc>
        <w:tc>
          <w:tcPr>
            <w:tcW w:w="709" w:type="dxa"/>
          </w:tcPr>
          <w:p>
            <w:pPr>
              <w:jc w:val="center"/>
              <w:rPr>
                <w:rFonts w:ascii="宋体" w:hAnsi="宋体"/>
                <w:color w:val="000000"/>
                <w:sz w:val="20"/>
                <w:szCs w:val="20"/>
              </w:rPr>
            </w:pPr>
            <w:r>
              <w:rPr>
                <w:rFonts w:hint="eastAsia" w:ascii="宋体" w:hAnsi="宋体"/>
                <w:color w:val="000000"/>
                <w:sz w:val="20"/>
                <w:szCs w:val="20"/>
              </w:rPr>
              <w:t>0</w:t>
            </w:r>
          </w:p>
        </w:tc>
        <w:tc>
          <w:tcPr>
            <w:tcW w:w="527" w:type="dxa"/>
          </w:tcPr>
          <w:p>
            <w:pPr>
              <w:jc w:val="center"/>
              <w:rPr>
                <w:rFonts w:ascii="宋体" w:hAnsi="宋体"/>
                <w:color w:val="000000"/>
                <w:sz w:val="20"/>
                <w:szCs w:val="20"/>
              </w:rPr>
            </w:pPr>
            <w:r>
              <w:rPr>
                <w:rFonts w:hint="eastAsia" w:ascii="宋体" w:hAnsi="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56" w:type="dxa"/>
            <w:vAlign w:val="center"/>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11</w:t>
            </w:r>
          </w:p>
        </w:tc>
        <w:tc>
          <w:tcPr>
            <w:tcW w:w="515" w:type="dxa"/>
            <w:vAlign w:val="center"/>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护理安全管理</w:t>
            </w:r>
          </w:p>
        </w:tc>
        <w:tc>
          <w:tcPr>
            <w:tcW w:w="2127" w:type="dxa"/>
          </w:tcPr>
          <w:p>
            <w:pPr>
              <w:snapToGrid w:val="0"/>
              <w:spacing w:line="288" w:lineRule="auto"/>
              <w:rPr>
                <w:rFonts w:ascii="宋体" w:hAnsi="宋体"/>
                <w:bCs/>
                <w:color w:val="000000"/>
                <w:sz w:val="20"/>
                <w:szCs w:val="20"/>
              </w:rPr>
            </w:pPr>
            <w:r>
              <w:rPr>
                <w:rFonts w:hint="eastAsia" w:ascii="宋体" w:hAnsi="宋体"/>
                <w:bCs/>
                <w:color w:val="000000"/>
                <w:sz w:val="20"/>
                <w:szCs w:val="20"/>
              </w:rPr>
              <w:t>1.掌握：护理安全、护理安全管理、护理风险及突发公共卫生事件的相关概念。</w:t>
            </w:r>
          </w:p>
          <w:p>
            <w:pPr>
              <w:snapToGrid w:val="0"/>
              <w:spacing w:line="288" w:lineRule="auto"/>
              <w:rPr>
                <w:rFonts w:ascii="宋体" w:hAnsi="宋体"/>
                <w:bCs/>
                <w:color w:val="000000"/>
                <w:sz w:val="20"/>
                <w:szCs w:val="20"/>
              </w:rPr>
            </w:pPr>
            <w:r>
              <w:rPr>
                <w:rFonts w:hint="eastAsia" w:ascii="宋体" w:hAnsi="宋体"/>
                <w:bCs/>
                <w:color w:val="000000"/>
                <w:sz w:val="20"/>
                <w:szCs w:val="20"/>
              </w:rPr>
              <w:t>2.熟悉：引起护理风险的原因、预防和控制护理风险的措施、医源性突发公共卫生事件的护理管理。</w:t>
            </w:r>
          </w:p>
          <w:p>
            <w:pPr>
              <w:snapToGrid w:val="0"/>
              <w:spacing w:line="288" w:lineRule="auto"/>
              <w:rPr>
                <w:rFonts w:ascii="宋体" w:hAnsi="宋体"/>
                <w:bCs/>
                <w:color w:val="000000"/>
                <w:sz w:val="20"/>
                <w:szCs w:val="20"/>
              </w:rPr>
            </w:pPr>
            <w:r>
              <w:rPr>
                <w:rFonts w:hint="eastAsia" w:ascii="宋体" w:hAnsi="宋体"/>
                <w:bCs/>
                <w:color w:val="000000"/>
                <w:sz w:val="20"/>
                <w:szCs w:val="20"/>
              </w:rPr>
              <w:t>3.了解：医源性突发公共卫生事件的分类。</w:t>
            </w:r>
          </w:p>
        </w:tc>
        <w:tc>
          <w:tcPr>
            <w:tcW w:w="1984" w:type="dxa"/>
          </w:tcPr>
          <w:p>
            <w:pPr>
              <w:snapToGrid w:val="0"/>
              <w:spacing w:line="288" w:lineRule="auto"/>
              <w:rPr>
                <w:rFonts w:ascii="宋体" w:hAnsi="Times New Roman"/>
                <w:b/>
                <w:color w:val="000000"/>
                <w:sz w:val="20"/>
                <w:szCs w:val="20"/>
              </w:rPr>
            </w:pPr>
            <w:r>
              <w:rPr>
                <w:rFonts w:hint="eastAsia" w:ascii="宋体" w:hAnsi="宋体"/>
                <w:bCs/>
                <w:color w:val="000000"/>
                <w:sz w:val="20"/>
                <w:szCs w:val="20"/>
              </w:rPr>
              <w:t>学会有效预防和控制护理风险的方法和措施。</w:t>
            </w:r>
          </w:p>
        </w:tc>
        <w:tc>
          <w:tcPr>
            <w:tcW w:w="1276" w:type="dxa"/>
          </w:tcPr>
          <w:p>
            <w:pPr>
              <w:snapToGrid w:val="0"/>
              <w:spacing w:line="288" w:lineRule="auto"/>
              <w:rPr>
                <w:rFonts w:ascii="宋体" w:hAnsi="Times New Roman"/>
                <w:b/>
                <w:color w:val="000000"/>
                <w:sz w:val="20"/>
                <w:szCs w:val="20"/>
              </w:rPr>
            </w:pPr>
            <w:r>
              <w:rPr>
                <w:rFonts w:hint="eastAsia" w:ascii="宋体" w:hAnsi="宋体"/>
                <w:bCs/>
                <w:color w:val="000000"/>
                <w:sz w:val="20"/>
                <w:szCs w:val="20"/>
              </w:rPr>
              <w:t>具有预见护理风险的意识和处理护理安全问题的能力。</w:t>
            </w:r>
          </w:p>
        </w:tc>
        <w:tc>
          <w:tcPr>
            <w:tcW w:w="1173" w:type="dxa"/>
          </w:tcPr>
          <w:p>
            <w:pPr>
              <w:rPr>
                <w:rFonts w:ascii="宋体" w:hAnsi="宋体"/>
                <w:color w:val="000000"/>
                <w:sz w:val="20"/>
                <w:szCs w:val="20"/>
              </w:rPr>
            </w:pPr>
            <w:r>
              <w:rPr>
                <w:rFonts w:hint="eastAsia" w:ascii="宋体" w:hAnsi="宋体"/>
                <w:bCs/>
                <w:color w:val="000000"/>
                <w:sz w:val="20"/>
                <w:szCs w:val="20"/>
              </w:rPr>
              <w:t>预防和控制护理风险的措施</w:t>
            </w:r>
          </w:p>
        </w:tc>
        <w:tc>
          <w:tcPr>
            <w:tcW w:w="709" w:type="dxa"/>
          </w:tcPr>
          <w:p>
            <w:pPr>
              <w:jc w:val="center"/>
              <w:rPr>
                <w:rFonts w:ascii="宋体" w:hAnsi="宋体"/>
                <w:color w:val="000000"/>
                <w:sz w:val="20"/>
                <w:szCs w:val="20"/>
              </w:rPr>
            </w:pPr>
            <w:r>
              <w:rPr>
                <w:rFonts w:hint="eastAsia" w:ascii="宋体" w:hAnsi="宋体"/>
                <w:color w:val="000000"/>
                <w:sz w:val="20"/>
                <w:szCs w:val="20"/>
              </w:rPr>
              <w:t>1</w:t>
            </w:r>
          </w:p>
        </w:tc>
        <w:tc>
          <w:tcPr>
            <w:tcW w:w="709" w:type="dxa"/>
          </w:tcPr>
          <w:p>
            <w:pPr>
              <w:jc w:val="center"/>
              <w:rPr>
                <w:rFonts w:ascii="宋体" w:hAnsi="宋体"/>
                <w:color w:val="000000"/>
                <w:sz w:val="20"/>
                <w:szCs w:val="20"/>
              </w:rPr>
            </w:pPr>
            <w:r>
              <w:rPr>
                <w:rFonts w:hint="eastAsia" w:ascii="宋体" w:hAnsi="宋体"/>
                <w:color w:val="000000"/>
                <w:sz w:val="20"/>
                <w:szCs w:val="20"/>
              </w:rPr>
              <w:t>0</w:t>
            </w:r>
          </w:p>
        </w:tc>
        <w:tc>
          <w:tcPr>
            <w:tcW w:w="527" w:type="dxa"/>
          </w:tcPr>
          <w:p>
            <w:pPr>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6" w:type="dxa"/>
            <w:vAlign w:val="center"/>
          </w:tcPr>
          <w:p>
            <w:pPr>
              <w:snapToGrid w:val="0"/>
              <w:spacing w:line="288" w:lineRule="auto"/>
              <w:jc w:val="center"/>
              <w:rPr>
                <w:rFonts w:hint="eastAsia" w:ascii="宋体" w:hAnsi="宋体" w:eastAsia="宋体"/>
                <w:bCs/>
                <w:color w:val="000000"/>
                <w:sz w:val="20"/>
                <w:szCs w:val="20"/>
                <w:lang w:eastAsia="zh-CN"/>
              </w:rPr>
            </w:pPr>
            <w:r>
              <w:rPr>
                <w:rFonts w:hint="eastAsia" w:ascii="宋体" w:hAnsi="宋体"/>
                <w:bCs/>
                <w:color w:val="000000"/>
                <w:sz w:val="20"/>
                <w:szCs w:val="20"/>
                <w:lang w:eastAsia="zh-CN"/>
              </w:rPr>
              <w:t>合计</w:t>
            </w:r>
          </w:p>
        </w:tc>
        <w:tc>
          <w:tcPr>
            <w:tcW w:w="515" w:type="dxa"/>
            <w:vAlign w:val="center"/>
          </w:tcPr>
          <w:p>
            <w:pPr>
              <w:snapToGrid w:val="0"/>
              <w:spacing w:line="288" w:lineRule="auto"/>
              <w:jc w:val="center"/>
              <w:rPr>
                <w:rFonts w:hint="eastAsia" w:ascii="宋体" w:hAnsi="宋体"/>
                <w:bCs/>
                <w:color w:val="000000"/>
                <w:sz w:val="20"/>
                <w:szCs w:val="20"/>
              </w:rPr>
            </w:pPr>
          </w:p>
        </w:tc>
        <w:tc>
          <w:tcPr>
            <w:tcW w:w="2127" w:type="dxa"/>
          </w:tcPr>
          <w:p>
            <w:pPr>
              <w:snapToGrid w:val="0"/>
              <w:spacing w:line="288" w:lineRule="auto"/>
              <w:rPr>
                <w:rFonts w:hint="eastAsia" w:ascii="宋体" w:hAnsi="宋体"/>
                <w:bCs/>
                <w:color w:val="000000"/>
                <w:sz w:val="20"/>
                <w:szCs w:val="20"/>
              </w:rPr>
            </w:pPr>
          </w:p>
        </w:tc>
        <w:tc>
          <w:tcPr>
            <w:tcW w:w="1984" w:type="dxa"/>
          </w:tcPr>
          <w:p>
            <w:pPr>
              <w:snapToGrid w:val="0"/>
              <w:spacing w:line="288" w:lineRule="auto"/>
              <w:rPr>
                <w:rFonts w:hint="eastAsia" w:ascii="宋体" w:hAnsi="宋体"/>
                <w:bCs/>
                <w:color w:val="000000"/>
                <w:sz w:val="20"/>
                <w:szCs w:val="20"/>
              </w:rPr>
            </w:pPr>
          </w:p>
        </w:tc>
        <w:tc>
          <w:tcPr>
            <w:tcW w:w="1276" w:type="dxa"/>
          </w:tcPr>
          <w:p>
            <w:pPr>
              <w:snapToGrid w:val="0"/>
              <w:spacing w:line="288" w:lineRule="auto"/>
              <w:rPr>
                <w:rFonts w:hint="eastAsia" w:ascii="宋体" w:hAnsi="宋体"/>
                <w:bCs/>
                <w:color w:val="000000"/>
                <w:sz w:val="20"/>
                <w:szCs w:val="20"/>
              </w:rPr>
            </w:pPr>
          </w:p>
        </w:tc>
        <w:tc>
          <w:tcPr>
            <w:tcW w:w="1173" w:type="dxa"/>
          </w:tcPr>
          <w:p>
            <w:pPr>
              <w:rPr>
                <w:rFonts w:hint="eastAsia" w:ascii="宋体" w:hAnsi="宋体"/>
                <w:bCs/>
                <w:color w:val="000000"/>
                <w:sz w:val="20"/>
                <w:szCs w:val="20"/>
              </w:rPr>
            </w:pPr>
          </w:p>
        </w:tc>
        <w:tc>
          <w:tcPr>
            <w:tcW w:w="709" w:type="dxa"/>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16</w:t>
            </w:r>
            <w:bookmarkStart w:id="1" w:name="_GoBack"/>
            <w:bookmarkEnd w:id="1"/>
          </w:p>
        </w:tc>
        <w:tc>
          <w:tcPr>
            <w:tcW w:w="709" w:type="dxa"/>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527" w:type="dxa"/>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16</w:t>
            </w:r>
          </w:p>
        </w:tc>
      </w:tr>
    </w:tbl>
    <w:p>
      <w:pPr>
        <w:snapToGrid w:val="0"/>
        <w:spacing w:line="288" w:lineRule="auto"/>
        <w:ind w:right="252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七、评价方式与成绩</w:t>
      </w:r>
    </w:p>
    <w:tbl>
      <w:tblPr>
        <w:tblStyle w:val="4"/>
        <w:tblpPr w:leftFromText="180" w:rightFromText="180" w:vertAnchor="text" w:horzAnchor="page" w:tblpX="1668" w:tblpY="398"/>
        <w:tblOverlap w:val="never"/>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5106"/>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总评构成（1+X）</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期末闭卷考试</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课堂测验</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案例分析</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课堂表现</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bl>
    <w:p>
      <w:pPr>
        <w:snapToGrid w:val="0"/>
        <w:spacing w:line="288" w:lineRule="auto"/>
        <w:rPr>
          <w:sz w:val="28"/>
          <w:szCs w:val="28"/>
        </w:rPr>
      </w:pPr>
    </w:p>
    <w:p>
      <w:pPr>
        <w:snapToGrid w:val="0"/>
        <w:spacing w:line="288" w:lineRule="auto"/>
        <w:rPr>
          <w:sz w:val="28"/>
          <w:szCs w:val="28"/>
        </w:rPr>
      </w:pPr>
      <w:r>
        <w:rPr>
          <w:rFonts w:ascii="宋体" w:hAnsi="宋体"/>
          <w:sz w:val="20"/>
          <w:szCs w:val="20"/>
          <w:highlight w:val="yellow"/>
        </w:rPr>
        <w:drawing>
          <wp:anchor distT="0" distB="0" distL="114300" distR="114300" simplePos="0" relativeHeight="251658240" behindDoc="0" locked="0" layoutInCell="1" allowOverlap="1">
            <wp:simplePos x="0" y="0"/>
            <wp:positionH relativeFrom="column">
              <wp:posOffset>1079500</wp:posOffset>
            </wp:positionH>
            <wp:positionV relativeFrom="paragraph">
              <wp:posOffset>33020</wp:posOffset>
            </wp:positionV>
            <wp:extent cx="850900" cy="47307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50900" cy="473063"/>
                    </a:xfrm>
                    <a:prstGeom prst="rect">
                      <a:avLst/>
                    </a:prstGeom>
                    <a:noFill/>
                    <a:ln>
                      <a:noFill/>
                    </a:ln>
                  </pic:spPr>
                </pic:pic>
              </a:graphicData>
            </a:graphic>
          </wp:anchor>
        </w:drawing>
      </w:r>
      <w:r>
        <w:rPr>
          <w:rFonts w:hint="eastAsia"/>
          <w:color w:val="FF0000"/>
          <w:sz w:val="28"/>
          <w:szCs w:val="28"/>
        </w:rPr>
        <w:drawing>
          <wp:anchor distT="0" distB="0" distL="114300" distR="114300" simplePos="0" relativeHeight="251657216" behindDoc="1" locked="0" layoutInCell="1" allowOverlap="1">
            <wp:simplePos x="0" y="0"/>
            <wp:positionH relativeFrom="column">
              <wp:posOffset>3714115</wp:posOffset>
            </wp:positionH>
            <wp:positionV relativeFrom="paragraph">
              <wp:posOffset>53340</wp:posOffset>
            </wp:positionV>
            <wp:extent cx="1254125" cy="471805"/>
            <wp:effectExtent l="0" t="0" r="0" b="0"/>
            <wp:wrapThrough wrapText="bothSides">
              <wp:wrapPolygon>
                <wp:start x="0" y="0"/>
                <wp:lineTo x="0" y="20931"/>
                <wp:lineTo x="20998" y="20931"/>
                <wp:lineTo x="20998" y="0"/>
                <wp:lineTo x="0" y="0"/>
              </wp:wrapPolygon>
            </wp:wrapThrough>
            <wp:docPr id="2" name="图片 2" descr="b73c5bbf66d1d6d88c9fd91ef193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73c5bbf66d1d6d88c9fd91ef193e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54125" cy="471805"/>
                    </a:xfrm>
                    <a:prstGeom prst="rect">
                      <a:avLst/>
                    </a:prstGeom>
                    <a:noFill/>
                    <a:ln>
                      <a:noFill/>
                    </a:ln>
                  </pic:spPr>
                </pic:pic>
              </a:graphicData>
            </a:graphic>
          </wp:anchor>
        </w:drawing>
      </w:r>
    </w:p>
    <w:p>
      <w:pPr>
        <w:snapToGrid w:val="0"/>
        <w:spacing w:line="288" w:lineRule="auto"/>
        <w:ind w:firstLine="560" w:firstLineChars="200"/>
        <w:rPr>
          <w:sz w:val="28"/>
          <w:szCs w:val="28"/>
        </w:rPr>
      </w:pPr>
      <w:r>
        <w:rPr>
          <w:rFonts w:hint="eastAsia"/>
          <w:sz w:val="28"/>
          <w:szCs w:val="28"/>
        </w:rPr>
        <w:t>撰写人：             系主任审核签名：</w:t>
      </w:r>
    </w:p>
    <w:p>
      <w:pPr>
        <w:snapToGrid w:val="0"/>
        <w:spacing w:line="288" w:lineRule="auto"/>
        <w:ind w:firstLine="560" w:firstLineChars="200"/>
        <w:rPr>
          <w:sz w:val="28"/>
          <w:szCs w:val="28"/>
        </w:rPr>
      </w:pPr>
      <w:r>
        <w:rPr>
          <w:rFonts w:hint="eastAsia"/>
          <w:sz w:val="28"/>
          <w:szCs w:val="28"/>
        </w:rPr>
        <w:t>审核时间：2020年3月1日</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pict>
        <v:shape id="_x0000_s2049" o:spid="_x0000_s2049"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4082"/>
    <w:rsid w:val="000246A6"/>
    <w:rsid w:val="00070B08"/>
    <w:rsid w:val="001072BC"/>
    <w:rsid w:val="00122D57"/>
    <w:rsid w:val="001275CF"/>
    <w:rsid w:val="00155F11"/>
    <w:rsid w:val="0016590F"/>
    <w:rsid w:val="001C11DA"/>
    <w:rsid w:val="001E5C58"/>
    <w:rsid w:val="001F1E95"/>
    <w:rsid w:val="0020096C"/>
    <w:rsid w:val="00256B39"/>
    <w:rsid w:val="0026033C"/>
    <w:rsid w:val="002D1FEC"/>
    <w:rsid w:val="002E3721"/>
    <w:rsid w:val="00313BBA"/>
    <w:rsid w:val="0032602E"/>
    <w:rsid w:val="003367AE"/>
    <w:rsid w:val="00337282"/>
    <w:rsid w:val="003540B6"/>
    <w:rsid w:val="003B1258"/>
    <w:rsid w:val="003D6D77"/>
    <w:rsid w:val="003F6323"/>
    <w:rsid w:val="004100B0"/>
    <w:rsid w:val="00436C02"/>
    <w:rsid w:val="004E3D60"/>
    <w:rsid w:val="004F360B"/>
    <w:rsid w:val="00516F4E"/>
    <w:rsid w:val="005467DC"/>
    <w:rsid w:val="00553D03"/>
    <w:rsid w:val="00567675"/>
    <w:rsid w:val="005B2B6D"/>
    <w:rsid w:val="005B4B4E"/>
    <w:rsid w:val="005D5E3A"/>
    <w:rsid w:val="00601FC5"/>
    <w:rsid w:val="00624FE1"/>
    <w:rsid w:val="00635A2D"/>
    <w:rsid w:val="00673E24"/>
    <w:rsid w:val="006E3581"/>
    <w:rsid w:val="007208D6"/>
    <w:rsid w:val="0077480C"/>
    <w:rsid w:val="007C1EEA"/>
    <w:rsid w:val="007C3E83"/>
    <w:rsid w:val="00823A81"/>
    <w:rsid w:val="00892CCC"/>
    <w:rsid w:val="008B397C"/>
    <w:rsid w:val="008B47F4"/>
    <w:rsid w:val="008E74B7"/>
    <w:rsid w:val="008F3837"/>
    <w:rsid w:val="00900019"/>
    <w:rsid w:val="00900CDD"/>
    <w:rsid w:val="0095148C"/>
    <w:rsid w:val="0099063E"/>
    <w:rsid w:val="00996F94"/>
    <w:rsid w:val="00A1778B"/>
    <w:rsid w:val="00A769B1"/>
    <w:rsid w:val="00A837D5"/>
    <w:rsid w:val="00AA149D"/>
    <w:rsid w:val="00AC4C45"/>
    <w:rsid w:val="00B46F21"/>
    <w:rsid w:val="00B50388"/>
    <w:rsid w:val="00B511A5"/>
    <w:rsid w:val="00B61B36"/>
    <w:rsid w:val="00B72B3B"/>
    <w:rsid w:val="00B736A7"/>
    <w:rsid w:val="00B7651F"/>
    <w:rsid w:val="00B84DA4"/>
    <w:rsid w:val="00BE58BF"/>
    <w:rsid w:val="00C25C54"/>
    <w:rsid w:val="00C405A5"/>
    <w:rsid w:val="00C53048"/>
    <w:rsid w:val="00C56E09"/>
    <w:rsid w:val="00C7061A"/>
    <w:rsid w:val="00CA37C1"/>
    <w:rsid w:val="00CB1A2E"/>
    <w:rsid w:val="00CD12BA"/>
    <w:rsid w:val="00CE3BB4"/>
    <w:rsid w:val="00CF096B"/>
    <w:rsid w:val="00E16D30"/>
    <w:rsid w:val="00E27661"/>
    <w:rsid w:val="00E33169"/>
    <w:rsid w:val="00E70904"/>
    <w:rsid w:val="00E74C05"/>
    <w:rsid w:val="00E96A73"/>
    <w:rsid w:val="00EF311A"/>
    <w:rsid w:val="00EF44B1"/>
    <w:rsid w:val="00F030A2"/>
    <w:rsid w:val="00F35AA0"/>
    <w:rsid w:val="00F52964"/>
    <w:rsid w:val="00F74213"/>
    <w:rsid w:val="00FA28FA"/>
    <w:rsid w:val="00FB32DB"/>
    <w:rsid w:val="00FB7B15"/>
    <w:rsid w:val="01297B43"/>
    <w:rsid w:val="016E63C2"/>
    <w:rsid w:val="01EA500E"/>
    <w:rsid w:val="024B0C39"/>
    <w:rsid w:val="02582C0D"/>
    <w:rsid w:val="02BD4B33"/>
    <w:rsid w:val="02EC3CAF"/>
    <w:rsid w:val="03626A49"/>
    <w:rsid w:val="039F00AA"/>
    <w:rsid w:val="03A301D6"/>
    <w:rsid w:val="03A74F7A"/>
    <w:rsid w:val="048F4CFE"/>
    <w:rsid w:val="052E1ED6"/>
    <w:rsid w:val="054B7ACD"/>
    <w:rsid w:val="05567159"/>
    <w:rsid w:val="05AA6175"/>
    <w:rsid w:val="05B15924"/>
    <w:rsid w:val="05D72BB5"/>
    <w:rsid w:val="05EA0DBA"/>
    <w:rsid w:val="06105FBA"/>
    <w:rsid w:val="062F002D"/>
    <w:rsid w:val="064E58A9"/>
    <w:rsid w:val="06A16098"/>
    <w:rsid w:val="06B95141"/>
    <w:rsid w:val="08FA6572"/>
    <w:rsid w:val="08FB151F"/>
    <w:rsid w:val="0908795E"/>
    <w:rsid w:val="0A0451A7"/>
    <w:rsid w:val="0A326DEA"/>
    <w:rsid w:val="0A444A32"/>
    <w:rsid w:val="0A8128A6"/>
    <w:rsid w:val="0A96451D"/>
    <w:rsid w:val="0AE13069"/>
    <w:rsid w:val="0B480E78"/>
    <w:rsid w:val="0B4C1E6D"/>
    <w:rsid w:val="0BF32A1B"/>
    <w:rsid w:val="0D532B07"/>
    <w:rsid w:val="0E19353C"/>
    <w:rsid w:val="0E194BBB"/>
    <w:rsid w:val="0E9144E6"/>
    <w:rsid w:val="0F136E28"/>
    <w:rsid w:val="0F14527A"/>
    <w:rsid w:val="0F1F6EA7"/>
    <w:rsid w:val="0F2E1A7A"/>
    <w:rsid w:val="0F67797F"/>
    <w:rsid w:val="107012C4"/>
    <w:rsid w:val="10825343"/>
    <w:rsid w:val="10BD2C22"/>
    <w:rsid w:val="110F612C"/>
    <w:rsid w:val="115461E5"/>
    <w:rsid w:val="11850C02"/>
    <w:rsid w:val="11A03579"/>
    <w:rsid w:val="11B41BEA"/>
    <w:rsid w:val="1214646A"/>
    <w:rsid w:val="13496B5B"/>
    <w:rsid w:val="137D3EEF"/>
    <w:rsid w:val="139564CB"/>
    <w:rsid w:val="13B12B7D"/>
    <w:rsid w:val="13B27ECB"/>
    <w:rsid w:val="13EE4073"/>
    <w:rsid w:val="14893402"/>
    <w:rsid w:val="14A57E07"/>
    <w:rsid w:val="14B50B9C"/>
    <w:rsid w:val="153A2AFE"/>
    <w:rsid w:val="157B649F"/>
    <w:rsid w:val="15A159AB"/>
    <w:rsid w:val="15A364AE"/>
    <w:rsid w:val="15B74411"/>
    <w:rsid w:val="15D079D8"/>
    <w:rsid w:val="15D65B2F"/>
    <w:rsid w:val="16691552"/>
    <w:rsid w:val="167B09FD"/>
    <w:rsid w:val="16801E5F"/>
    <w:rsid w:val="16966C69"/>
    <w:rsid w:val="16EC76C3"/>
    <w:rsid w:val="16F60289"/>
    <w:rsid w:val="17105D52"/>
    <w:rsid w:val="17497705"/>
    <w:rsid w:val="179602E1"/>
    <w:rsid w:val="17A839F5"/>
    <w:rsid w:val="17F7135A"/>
    <w:rsid w:val="182260FE"/>
    <w:rsid w:val="186C52D7"/>
    <w:rsid w:val="18AB2ED8"/>
    <w:rsid w:val="18B851FD"/>
    <w:rsid w:val="191110EC"/>
    <w:rsid w:val="19AD3F41"/>
    <w:rsid w:val="19BA3505"/>
    <w:rsid w:val="19CD3374"/>
    <w:rsid w:val="19D42D40"/>
    <w:rsid w:val="19D66333"/>
    <w:rsid w:val="19DF2E0B"/>
    <w:rsid w:val="1A067ECA"/>
    <w:rsid w:val="1A621C1B"/>
    <w:rsid w:val="1AF30747"/>
    <w:rsid w:val="1B2E395D"/>
    <w:rsid w:val="1BD9562F"/>
    <w:rsid w:val="1C686D53"/>
    <w:rsid w:val="1D371908"/>
    <w:rsid w:val="1D980860"/>
    <w:rsid w:val="1DC76605"/>
    <w:rsid w:val="1DD748EF"/>
    <w:rsid w:val="1E0C484F"/>
    <w:rsid w:val="1F4B55FE"/>
    <w:rsid w:val="1FCC7EB8"/>
    <w:rsid w:val="20591378"/>
    <w:rsid w:val="20743490"/>
    <w:rsid w:val="20A30041"/>
    <w:rsid w:val="20BD6548"/>
    <w:rsid w:val="20DD3C4C"/>
    <w:rsid w:val="21044D84"/>
    <w:rsid w:val="215D2AD2"/>
    <w:rsid w:val="219A226D"/>
    <w:rsid w:val="22987C80"/>
    <w:rsid w:val="22CF789E"/>
    <w:rsid w:val="230569B6"/>
    <w:rsid w:val="23891004"/>
    <w:rsid w:val="23981013"/>
    <w:rsid w:val="24192CCC"/>
    <w:rsid w:val="242D5870"/>
    <w:rsid w:val="24473619"/>
    <w:rsid w:val="248D724A"/>
    <w:rsid w:val="24C90130"/>
    <w:rsid w:val="24EB0CB5"/>
    <w:rsid w:val="24FD290B"/>
    <w:rsid w:val="252A55E3"/>
    <w:rsid w:val="25CE132E"/>
    <w:rsid w:val="26983DA1"/>
    <w:rsid w:val="26CE735F"/>
    <w:rsid w:val="26FD7CDB"/>
    <w:rsid w:val="273144F7"/>
    <w:rsid w:val="275859DD"/>
    <w:rsid w:val="279E7EC5"/>
    <w:rsid w:val="27A66115"/>
    <w:rsid w:val="27CB0A84"/>
    <w:rsid w:val="27EF10E8"/>
    <w:rsid w:val="29450896"/>
    <w:rsid w:val="29C34AE8"/>
    <w:rsid w:val="29CF3F58"/>
    <w:rsid w:val="29FC453A"/>
    <w:rsid w:val="2A633571"/>
    <w:rsid w:val="2A714330"/>
    <w:rsid w:val="2A7639EE"/>
    <w:rsid w:val="2B023E3E"/>
    <w:rsid w:val="2C9A49FB"/>
    <w:rsid w:val="2C9D43FF"/>
    <w:rsid w:val="2CAA5C42"/>
    <w:rsid w:val="2CBE0E64"/>
    <w:rsid w:val="2CF36B7D"/>
    <w:rsid w:val="2D5C599D"/>
    <w:rsid w:val="2DB22519"/>
    <w:rsid w:val="2E2D57BC"/>
    <w:rsid w:val="2E7314F1"/>
    <w:rsid w:val="2EAE000B"/>
    <w:rsid w:val="2EC302D5"/>
    <w:rsid w:val="2EF47BCB"/>
    <w:rsid w:val="2F1B12E2"/>
    <w:rsid w:val="2F7F63CE"/>
    <w:rsid w:val="2FC44278"/>
    <w:rsid w:val="2FFC7668"/>
    <w:rsid w:val="30B426F2"/>
    <w:rsid w:val="31007E19"/>
    <w:rsid w:val="315806CD"/>
    <w:rsid w:val="31590EB1"/>
    <w:rsid w:val="32356A82"/>
    <w:rsid w:val="32636121"/>
    <w:rsid w:val="328C6DA7"/>
    <w:rsid w:val="333D21DD"/>
    <w:rsid w:val="33A5539F"/>
    <w:rsid w:val="341D03E8"/>
    <w:rsid w:val="34302F4F"/>
    <w:rsid w:val="34514FFC"/>
    <w:rsid w:val="34F2629E"/>
    <w:rsid w:val="35121A46"/>
    <w:rsid w:val="35303891"/>
    <w:rsid w:val="35A071FE"/>
    <w:rsid w:val="35F20BF4"/>
    <w:rsid w:val="363F7F01"/>
    <w:rsid w:val="36755C65"/>
    <w:rsid w:val="368E2C9A"/>
    <w:rsid w:val="36A44DA9"/>
    <w:rsid w:val="37087433"/>
    <w:rsid w:val="373F56CD"/>
    <w:rsid w:val="398A6898"/>
    <w:rsid w:val="39A66CD4"/>
    <w:rsid w:val="39ED7DF6"/>
    <w:rsid w:val="3A373010"/>
    <w:rsid w:val="3A973243"/>
    <w:rsid w:val="3BA70C43"/>
    <w:rsid w:val="3C0350D4"/>
    <w:rsid w:val="3C12737B"/>
    <w:rsid w:val="3C8B2D68"/>
    <w:rsid w:val="3CB04EF7"/>
    <w:rsid w:val="3CD52CE1"/>
    <w:rsid w:val="3D2B3730"/>
    <w:rsid w:val="3DBB7A6F"/>
    <w:rsid w:val="3E732831"/>
    <w:rsid w:val="3E7716E6"/>
    <w:rsid w:val="3ECF2C15"/>
    <w:rsid w:val="3FD94742"/>
    <w:rsid w:val="40EA472B"/>
    <w:rsid w:val="410F2E6A"/>
    <w:rsid w:val="416364F9"/>
    <w:rsid w:val="41CD7D9B"/>
    <w:rsid w:val="41E91CB7"/>
    <w:rsid w:val="421E603F"/>
    <w:rsid w:val="42421C4D"/>
    <w:rsid w:val="42C54EA0"/>
    <w:rsid w:val="433025BD"/>
    <w:rsid w:val="438F76A6"/>
    <w:rsid w:val="4430136C"/>
    <w:rsid w:val="44367851"/>
    <w:rsid w:val="44850C7A"/>
    <w:rsid w:val="449A5E0C"/>
    <w:rsid w:val="44DD5C5A"/>
    <w:rsid w:val="452C0269"/>
    <w:rsid w:val="45B477FA"/>
    <w:rsid w:val="45B658DA"/>
    <w:rsid w:val="465B16E0"/>
    <w:rsid w:val="46841C25"/>
    <w:rsid w:val="4688513E"/>
    <w:rsid w:val="46C74440"/>
    <w:rsid w:val="46D840B4"/>
    <w:rsid w:val="479E6C53"/>
    <w:rsid w:val="47AE325C"/>
    <w:rsid w:val="483F0326"/>
    <w:rsid w:val="48491722"/>
    <w:rsid w:val="489F491C"/>
    <w:rsid w:val="492E09E2"/>
    <w:rsid w:val="49604B6A"/>
    <w:rsid w:val="49715451"/>
    <w:rsid w:val="49BA1AA3"/>
    <w:rsid w:val="49BE4589"/>
    <w:rsid w:val="49EA28AB"/>
    <w:rsid w:val="4A0412D1"/>
    <w:rsid w:val="4A077D32"/>
    <w:rsid w:val="4A112122"/>
    <w:rsid w:val="4A482EEA"/>
    <w:rsid w:val="4A4B652C"/>
    <w:rsid w:val="4A6C28F4"/>
    <w:rsid w:val="4AB0382B"/>
    <w:rsid w:val="4B5C0BDE"/>
    <w:rsid w:val="4C006E10"/>
    <w:rsid w:val="4C77605B"/>
    <w:rsid w:val="4C8942DD"/>
    <w:rsid w:val="4DAA1C0B"/>
    <w:rsid w:val="4DB42C10"/>
    <w:rsid w:val="4DEA5DDD"/>
    <w:rsid w:val="4DEF154D"/>
    <w:rsid w:val="4E061165"/>
    <w:rsid w:val="4E293C86"/>
    <w:rsid w:val="4EF85A4A"/>
    <w:rsid w:val="4F771BC4"/>
    <w:rsid w:val="50BA3E47"/>
    <w:rsid w:val="51013CD3"/>
    <w:rsid w:val="51A30BA4"/>
    <w:rsid w:val="52C5060E"/>
    <w:rsid w:val="530948F7"/>
    <w:rsid w:val="535B5824"/>
    <w:rsid w:val="5379031B"/>
    <w:rsid w:val="539E1C14"/>
    <w:rsid w:val="5449130A"/>
    <w:rsid w:val="54727BD5"/>
    <w:rsid w:val="54B75844"/>
    <w:rsid w:val="550A5F01"/>
    <w:rsid w:val="553B2541"/>
    <w:rsid w:val="55912050"/>
    <w:rsid w:val="55987137"/>
    <w:rsid w:val="55A27CE0"/>
    <w:rsid w:val="55B91749"/>
    <w:rsid w:val="569868B5"/>
    <w:rsid w:val="57945AC0"/>
    <w:rsid w:val="57AB0DE3"/>
    <w:rsid w:val="57C52AB4"/>
    <w:rsid w:val="57DA3B31"/>
    <w:rsid w:val="57FF4F53"/>
    <w:rsid w:val="58117407"/>
    <w:rsid w:val="5856740A"/>
    <w:rsid w:val="5A4724E9"/>
    <w:rsid w:val="5AB90C2F"/>
    <w:rsid w:val="5B096973"/>
    <w:rsid w:val="5B3F3F69"/>
    <w:rsid w:val="5C5C6C45"/>
    <w:rsid w:val="5C9964A4"/>
    <w:rsid w:val="5D0258B2"/>
    <w:rsid w:val="5D2E568E"/>
    <w:rsid w:val="5D336CBC"/>
    <w:rsid w:val="5D5A72B2"/>
    <w:rsid w:val="5DAC3344"/>
    <w:rsid w:val="5DF97243"/>
    <w:rsid w:val="5E117507"/>
    <w:rsid w:val="5ECF0C67"/>
    <w:rsid w:val="5F201561"/>
    <w:rsid w:val="5F386F01"/>
    <w:rsid w:val="5F6E22AE"/>
    <w:rsid w:val="5F8E0CA7"/>
    <w:rsid w:val="5FB22EF2"/>
    <w:rsid w:val="5FD63E91"/>
    <w:rsid w:val="60CD70F7"/>
    <w:rsid w:val="60F74584"/>
    <w:rsid w:val="60F84D07"/>
    <w:rsid w:val="611F6817"/>
    <w:rsid w:val="614D7C4E"/>
    <w:rsid w:val="615E065E"/>
    <w:rsid w:val="61797F44"/>
    <w:rsid w:val="61AE6A58"/>
    <w:rsid w:val="61BE6958"/>
    <w:rsid w:val="624447AA"/>
    <w:rsid w:val="629B766E"/>
    <w:rsid w:val="63191C14"/>
    <w:rsid w:val="6364428D"/>
    <w:rsid w:val="63706E19"/>
    <w:rsid w:val="63981CF9"/>
    <w:rsid w:val="639E58E6"/>
    <w:rsid w:val="647D7464"/>
    <w:rsid w:val="64876B4A"/>
    <w:rsid w:val="64A76B2C"/>
    <w:rsid w:val="657763EE"/>
    <w:rsid w:val="65E00EEA"/>
    <w:rsid w:val="66582353"/>
    <w:rsid w:val="66CA1754"/>
    <w:rsid w:val="670C5E0A"/>
    <w:rsid w:val="674F6F46"/>
    <w:rsid w:val="675C5163"/>
    <w:rsid w:val="676269E9"/>
    <w:rsid w:val="67CE2084"/>
    <w:rsid w:val="67CE293A"/>
    <w:rsid w:val="68063377"/>
    <w:rsid w:val="68064835"/>
    <w:rsid w:val="68870227"/>
    <w:rsid w:val="69270A59"/>
    <w:rsid w:val="695B6997"/>
    <w:rsid w:val="69D01C78"/>
    <w:rsid w:val="69D4509C"/>
    <w:rsid w:val="6A1F3A57"/>
    <w:rsid w:val="6A703BAF"/>
    <w:rsid w:val="6A960C19"/>
    <w:rsid w:val="6A97191D"/>
    <w:rsid w:val="6ADB7FD8"/>
    <w:rsid w:val="6B774265"/>
    <w:rsid w:val="6C1E7FF3"/>
    <w:rsid w:val="6CA717F7"/>
    <w:rsid w:val="6D5448F6"/>
    <w:rsid w:val="6E5E01FC"/>
    <w:rsid w:val="6EC0750A"/>
    <w:rsid w:val="6F1E65D4"/>
    <w:rsid w:val="6F266C86"/>
    <w:rsid w:val="6F5042C2"/>
    <w:rsid w:val="6F6A388C"/>
    <w:rsid w:val="6F943EDE"/>
    <w:rsid w:val="6FC44B0F"/>
    <w:rsid w:val="6FE83669"/>
    <w:rsid w:val="700303A3"/>
    <w:rsid w:val="7018671A"/>
    <w:rsid w:val="702616F3"/>
    <w:rsid w:val="707C64FB"/>
    <w:rsid w:val="714B4319"/>
    <w:rsid w:val="71532785"/>
    <w:rsid w:val="72237E7A"/>
    <w:rsid w:val="7340273F"/>
    <w:rsid w:val="734E72D2"/>
    <w:rsid w:val="73EE11F2"/>
    <w:rsid w:val="73F319CD"/>
    <w:rsid w:val="74316312"/>
    <w:rsid w:val="74A06360"/>
    <w:rsid w:val="751B0989"/>
    <w:rsid w:val="751C67D3"/>
    <w:rsid w:val="75B14F9F"/>
    <w:rsid w:val="76AC21AC"/>
    <w:rsid w:val="76D1456B"/>
    <w:rsid w:val="774E6CD6"/>
    <w:rsid w:val="77A35732"/>
    <w:rsid w:val="77A44DAF"/>
    <w:rsid w:val="77FA1E88"/>
    <w:rsid w:val="780F13C8"/>
    <w:rsid w:val="78A55481"/>
    <w:rsid w:val="78FB192B"/>
    <w:rsid w:val="790A74D1"/>
    <w:rsid w:val="79964320"/>
    <w:rsid w:val="79AA43BB"/>
    <w:rsid w:val="79C234EB"/>
    <w:rsid w:val="7A262067"/>
    <w:rsid w:val="7A2B520D"/>
    <w:rsid w:val="7A4D36C7"/>
    <w:rsid w:val="7A970271"/>
    <w:rsid w:val="7B601012"/>
    <w:rsid w:val="7B75622F"/>
    <w:rsid w:val="7BD558F1"/>
    <w:rsid w:val="7C17797D"/>
    <w:rsid w:val="7C385448"/>
    <w:rsid w:val="7C5E0992"/>
    <w:rsid w:val="7CB3663D"/>
    <w:rsid w:val="7CC443DE"/>
    <w:rsid w:val="7D305E32"/>
    <w:rsid w:val="7ECC7F0A"/>
    <w:rsid w:val="7FBC4C56"/>
    <w:rsid w:val="7FF77643"/>
    <w:rsid w:val="7FFE3C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499</Words>
  <Characters>2850</Characters>
  <Lines>23</Lines>
  <Paragraphs>6</Paragraphs>
  <TotalTime>9</TotalTime>
  <ScaleCrop>false</ScaleCrop>
  <LinksUpToDate>false</LinksUpToDate>
  <CharactersWithSpaces>3343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2021-10-12T03:55:41Z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