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
          <w:kern w:val="0"/>
          <w:sz w:val="40"/>
          <w:szCs w:val="40"/>
        </w:rPr>
      </w:pPr>
      <w:r>
        <w:rPr>
          <w:rFonts w:ascii="宋体" w:hAnsi="宋体"/>
          <w:bCs/>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p>
                  </w:txbxContent>
                </v:textbox>
              </v:shape>
            </w:pict>
          </mc:Fallback>
        </mc:AlternateContent>
      </w:r>
      <w:r>
        <w:rPr>
          <w:rFonts w:hint="eastAsia" w:ascii="宋体" w:hAnsi="宋体"/>
          <w:bCs/>
          <w:kern w:val="0"/>
          <w:sz w:val="40"/>
          <w:szCs w:val="40"/>
        </w:rPr>
        <w:t>专业课课程</w:t>
      </w:r>
      <w:r>
        <w:rPr>
          <w:rFonts w:hint="eastAsia" w:asciiTheme="minorEastAsia" w:hAnsiTheme="minorEastAsia" w:eastAsiaTheme="minorEastAsia"/>
          <w:bCs/>
          <w:kern w:val="0"/>
          <w:sz w:val="40"/>
          <w:szCs w:val="40"/>
        </w:rPr>
        <w:t>教学大纲</w:t>
      </w:r>
    </w:p>
    <w:p>
      <w:pPr>
        <w:spacing w:line="288" w:lineRule="auto"/>
        <w:jc w:val="center"/>
        <w:rPr>
          <w:rFonts w:ascii="宋体" w:hAnsi="宋体" w:cs="黑体"/>
          <w:b/>
          <w:sz w:val="28"/>
          <w:szCs w:val="28"/>
        </w:rPr>
      </w:pPr>
      <w:bookmarkStart w:id="0" w:name="a2"/>
      <w:bookmarkEnd w:id="0"/>
      <w:r>
        <w:rPr>
          <w:rFonts w:hint="eastAsia" w:ascii="宋体" w:hAnsi="宋体" w:cs="黑体"/>
          <w:b/>
          <w:sz w:val="28"/>
          <w:szCs w:val="28"/>
        </w:rPr>
        <w:t>【健康管理政策与法规】</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w:t>
      </w:r>
      <w:r>
        <w:rPr>
          <w:rFonts w:ascii="宋体" w:hAnsi="宋体"/>
          <w:b/>
          <w:sz w:val="28"/>
          <w:szCs w:val="28"/>
        </w:rPr>
        <w:t xml:space="preserve"> Management</w:t>
      </w:r>
      <w:r>
        <w:rPr>
          <w:rFonts w:hint="eastAsia" w:ascii="宋体" w:hAnsi="宋体"/>
          <w:b/>
          <w:sz w:val="28"/>
          <w:szCs w:val="28"/>
        </w:rPr>
        <w:t xml:space="preserve"> Policy and Law】</w:t>
      </w:r>
    </w:p>
    <w:p>
      <w:pPr>
        <w:spacing w:before="156" w:beforeLines="50" w:after="156" w:afterLines="50" w:line="288" w:lineRule="auto"/>
        <w:ind w:firstLine="360" w:firstLineChars="150"/>
        <w:rPr>
          <w:b/>
          <w:sz w:val="30"/>
          <w:szCs w:val="30"/>
        </w:rPr>
      </w:pPr>
      <w:r>
        <w:rPr>
          <w:rFonts w:hint="eastAsia" w:ascii="黑体" w:hAnsi="宋体" w:eastAsia="黑体"/>
          <w:sz w:val="24"/>
        </w:rPr>
        <w:t>一、基本信息</w:t>
      </w:r>
    </w:p>
    <w:p>
      <w:pPr>
        <w:spacing w:line="288" w:lineRule="auto"/>
        <w:ind w:firstLine="402" w:firstLineChars="200"/>
        <w:rPr>
          <w:rFonts w:ascii="宋体" w:hAnsi="宋体"/>
          <w:bCs/>
          <w:sz w:val="20"/>
          <w:szCs w:val="20"/>
        </w:rPr>
      </w:pPr>
      <w:r>
        <w:rPr>
          <w:rFonts w:hint="eastAsia" w:ascii="宋体" w:hAnsi="宋体"/>
          <w:b/>
          <w:bCs/>
          <w:sz w:val="20"/>
          <w:szCs w:val="20"/>
        </w:rPr>
        <w:t>课程代码：</w:t>
      </w:r>
      <w:r>
        <w:rPr>
          <w:rFonts w:ascii="宋体" w:hAnsi="宋体"/>
          <w:bCs/>
          <w:sz w:val="20"/>
          <w:szCs w:val="20"/>
        </w:rPr>
        <w:t>【</w:t>
      </w:r>
      <w:r>
        <w:rPr>
          <w:rFonts w:hint="eastAsia" w:ascii="宋体" w:hAnsi="宋体"/>
          <w:bCs/>
          <w:sz w:val="20"/>
          <w:szCs w:val="20"/>
        </w:rPr>
        <w:t xml:space="preserve"> </w:t>
      </w:r>
      <w:r>
        <w:rPr>
          <w:rFonts w:ascii="宋体" w:hAnsi="宋体"/>
          <w:bCs/>
          <w:sz w:val="20"/>
          <w:szCs w:val="20"/>
        </w:rPr>
        <w:t>2170025</w:t>
      </w:r>
      <w:r>
        <w:rPr>
          <w:rFonts w:hint="eastAsia" w:ascii="宋体" w:hAnsi="宋体"/>
          <w:bCs/>
          <w:sz w:val="20"/>
          <w:szCs w:val="20"/>
        </w:rPr>
        <w:t xml:space="preserve"> </w:t>
      </w:r>
      <w:r>
        <w:rPr>
          <w:rFonts w:ascii="宋体" w:hAnsi="宋体"/>
          <w:bCs/>
          <w:sz w:val="20"/>
          <w:szCs w:val="20"/>
        </w:rPr>
        <w:t>】</w:t>
      </w:r>
    </w:p>
    <w:p>
      <w:pPr>
        <w:spacing w:line="288" w:lineRule="auto"/>
        <w:ind w:firstLine="402" w:firstLineChars="200"/>
        <w:rPr>
          <w:rFonts w:ascii="宋体" w:hAnsi="宋体"/>
          <w:sz w:val="20"/>
          <w:szCs w:val="20"/>
        </w:rPr>
      </w:pPr>
      <w:r>
        <w:rPr>
          <w:rFonts w:hint="eastAsia" w:ascii="宋体" w:hAnsi="宋体"/>
          <w:b/>
          <w:bCs/>
          <w:sz w:val="20"/>
          <w:szCs w:val="20"/>
        </w:rPr>
        <w:t>课程学分：</w:t>
      </w:r>
      <w:r>
        <w:rPr>
          <w:rFonts w:ascii="宋体" w:hAnsi="宋体"/>
          <w:bCs/>
          <w:sz w:val="20"/>
          <w:szCs w:val="20"/>
        </w:rPr>
        <w:t>【</w:t>
      </w:r>
      <w:r>
        <w:rPr>
          <w:rFonts w:hint="eastAsia" w:ascii="宋体" w:hAnsi="宋体"/>
          <w:bCs/>
          <w:sz w:val="20"/>
          <w:szCs w:val="20"/>
        </w:rPr>
        <w:t xml:space="preserve"> 2</w:t>
      </w:r>
      <w:r>
        <w:rPr>
          <w:rFonts w:ascii="宋体" w:hAnsi="宋体"/>
          <w:bCs/>
          <w:sz w:val="20"/>
          <w:szCs w:val="20"/>
        </w:rPr>
        <w:t xml:space="preserve"> 】</w:t>
      </w:r>
    </w:p>
    <w:p>
      <w:pPr>
        <w:spacing w:line="288" w:lineRule="auto"/>
        <w:ind w:firstLine="402" w:firstLineChars="200"/>
        <w:rPr>
          <w:rFonts w:ascii="宋体" w:hAnsi="宋体"/>
          <w:sz w:val="20"/>
          <w:szCs w:val="20"/>
        </w:rPr>
      </w:pPr>
      <w:r>
        <w:rPr>
          <w:rFonts w:hint="eastAsia" w:ascii="宋体" w:hAnsi="宋体"/>
          <w:b/>
          <w:bCs/>
          <w:sz w:val="20"/>
          <w:szCs w:val="20"/>
        </w:rPr>
        <w:t>面向专业：</w:t>
      </w:r>
      <w:r>
        <w:rPr>
          <w:rFonts w:ascii="宋体" w:hAnsi="宋体"/>
          <w:bCs/>
          <w:sz w:val="20"/>
          <w:szCs w:val="20"/>
        </w:rPr>
        <w:t>【</w:t>
      </w:r>
      <w:r>
        <w:rPr>
          <w:rFonts w:hint="eastAsia" w:ascii="宋体" w:hAnsi="宋体" w:cstheme="minorEastAsia"/>
          <w:sz w:val="20"/>
          <w:szCs w:val="20"/>
        </w:rPr>
        <w:t>健康服务与管理学</w:t>
      </w:r>
      <w:r>
        <w:rPr>
          <w:rFonts w:ascii="宋体" w:hAnsi="宋体"/>
          <w:bCs/>
          <w:sz w:val="20"/>
          <w:szCs w:val="20"/>
        </w:rPr>
        <w:t>】</w:t>
      </w:r>
    </w:p>
    <w:p>
      <w:pPr>
        <w:spacing w:line="288" w:lineRule="auto"/>
        <w:ind w:firstLine="402" w:firstLineChars="200"/>
        <w:rPr>
          <w:rFonts w:ascii="宋体" w:hAnsi="宋体"/>
          <w:sz w:val="20"/>
          <w:szCs w:val="20"/>
        </w:rPr>
      </w:pPr>
      <w:r>
        <w:rPr>
          <w:rFonts w:hint="eastAsia" w:ascii="宋体" w:hAnsi="宋体"/>
          <w:b/>
          <w:bCs/>
          <w:sz w:val="20"/>
          <w:szCs w:val="20"/>
        </w:rPr>
        <w:t>课程性质：</w:t>
      </w:r>
      <w:r>
        <w:rPr>
          <w:rFonts w:ascii="宋体" w:hAnsi="宋体"/>
          <w:bCs/>
          <w:sz w:val="20"/>
          <w:szCs w:val="20"/>
        </w:rPr>
        <w:t>【</w:t>
      </w:r>
      <w:r>
        <w:rPr>
          <w:rFonts w:hint="eastAsia" w:ascii="宋体" w:hAnsi="宋体"/>
          <w:sz w:val="20"/>
          <w:szCs w:val="20"/>
        </w:rPr>
        <w:t>系级专业必修课程</w:t>
      </w:r>
      <w:r>
        <w:rPr>
          <w:rFonts w:ascii="宋体" w:hAnsi="宋体"/>
          <w:bCs/>
          <w:sz w:val="20"/>
          <w:szCs w:val="20"/>
        </w:rPr>
        <w:t>】</w:t>
      </w:r>
    </w:p>
    <w:p>
      <w:pPr>
        <w:spacing w:line="288" w:lineRule="auto"/>
        <w:ind w:firstLine="402" w:firstLineChars="200"/>
        <w:rPr>
          <w:rFonts w:ascii="宋体" w:hAnsi="宋体"/>
          <w:sz w:val="20"/>
          <w:szCs w:val="20"/>
        </w:rPr>
      </w:pPr>
      <w:r>
        <w:rPr>
          <w:rFonts w:hint="eastAsia" w:ascii="宋体" w:hAnsi="宋体"/>
          <w:b/>
          <w:bCs/>
          <w:sz w:val="20"/>
          <w:szCs w:val="20"/>
        </w:rPr>
        <w:t>开课院系：</w:t>
      </w:r>
      <w:r>
        <w:rPr>
          <w:rFonts w:hint="eastAsia" w:ascii="宋体" w:hAnsi="宋体" w:cstheme="minorEastAsia"/>
          <w:sz w:val="20"/>
          <w:szCs w:val="20"/>
        </w:rPr>
        <w:t>健康管理学院健康服务与管理系</w:t>
      </w:r>
    </w:p>
    <w:p>
      <w:pPr>
        <w:spacing w:line="288" w:lineRule="auto"/>
        <w:ind w:firstLine="402" w:firstLineChars="200"/>
        <w:rPr>
          <w:rFonts w:ascii="宋体" w:hAnsi="宋体"/>
          <w:b/>
          <w:bCs/>
          <w:sz w:val="20"/>
          <w:szCs w:val="20"/>
        </w:rPr>
      </w:pPr>
      <w:r>
        <w:rPr>
          <w:rFonts w:hint="eastAsia" w:ascii="宋体" w:hAnsi="宋体"/>
          <w:b/>
          <w:bCs/>
          <w:sz w:val="20"/>
          <w:szCs w:val="20"/>
        </w:rPr>
        <w:t>使用教材：</w:t>
      </w:r>
    </w:p>
    <w:p>
      <w:pPr>
        <w:spacing w:line="288"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《卫生法学》，蒲川、陈大义，科学出版社, 2017年第1版</w:t>
      </w:r>
      <w:r>
        <w:rPr>
          <w:rFonts w:ascii="宋体" w:hAnsi="宋体"/>
          <w:sz w:val="20"/>
          <w:szCs w:val="20"/>
        </w:rPr>
        <w:t>】</w:t>
      </w:r>
    </w:p>
    <w:p>
      <w:pPr>
        <w:spacing w:line="288" w:lineRule="auto"/>
        <w:ind w:firstLine="800" w:firstLineChars="400"/>
        <w:rPr>
          <w:rFonts w:ascii="宋体" w:hAnsi="宋体"/>
          <w:sz w:val="20"/>
          <w:szCs w:val="20"/>
        </w:rPr>
      </w:pPr>
      <w:r>
        <w:rPr>
          <w:rFonts w:hint="eastAsia" w:ascii="宋体" w:hAnsi="宋体"/>
          <w:sz w:val="20"/>
          <w:szCs w:val="20"/>
        </w:rPr>
        <w:t>参考书目：</w:t>
      </w:r>
      <w:r>
        <w:rPr>
          <w:rFonts w:ascii="宋体" w:hAnsi="宋体"/>
          <w:sz w:val="20"/>
          <w:szCs w:val="20"/>
        </w:rPr>
        <w:t>【</w:t>
      </w:r>
      <w:r>
        <w:rPr>
          <w:rFonts w:hint="eastAsia" w:ascii="宋体" w:hAnsi="宋体"/>
          <w:sz w:val="20"/>
          <w:szCs w:val="20"/>
        </w:rPr>
        <w:t>1.《H</w:t>
      </w:r>
      <w:r>
        <w:rPr>
          <w:rFonts w:ascii="宋体" w:hAnsi="宋体"/>
          <w:sz w:val="20"/>
          <w:szCs w:val="20"/>
        </w:rPr>
        <w:t>ealth Policy and Planning</w:t>
      </w:r>
      <w:r>
        <w:rPr>
          <w:rFonts w:hint="eastAsia" w:ascii="宋体" w:hAnsi="宋体"/>
          <w:sz w:val="20"/>
          <w:szCs w:val="20"/>
        </w:rPr>
        <w:t>》，S</w:t>
      </w:r>
      <w:r>
        <w:rPr>
          <w:rFonts w:ascii="宋体" w:hAnsi="宋体"/>
          <w:sz w:val="20"/>
          <w:szCs w:val="20"/>
        </w:rPr>
        <w:t xml:space="preserve">andra Mounier-Jack &amp; Virginia </w:t>
      </w:r>
    </w:p>
    <w:p>
      <w:pPr>
        <w:spacing w:line="288" w:lineRule="auto"/>
        <w:ind w:left="420" w:leftChars="200" w:firstLine="400" w:firstLineChars="200"/>
        <w:rPr>
          <w:rFonts w:ascii="宋体" w:hAnsi="宋体"/>
          <w:sz w:val="20"/>
          <w:szCs w:val="20"/>
        </w:rPr>
      </w:pPr>
      <w:r>
        <w:rPr>
          <w:rFonts w:ascii="宋体" w:hAnsi="宋体"/>
          <w:sz w:val="20"/>
          <w:szCs w:val="20"/>
        </w:rPr>
        <w:t>Wiseman</w:t>
      </w:r>
      <w:r>
        <w:rPr>
          <w:rFonts w:hint="eastAsia" w:ascii="宋体" w:hAnsi="宋体"/>
          <w:sz w:val="20"/>
          <w:szCs w:val="20"/>
        </w:rPr>
        <w:t>，</w:t>
      </w:r>
      <w:r>
        <w:rPr>
          <w:rFonts w:ascii="宋体" w:hAnsi="宋体"/>
          <w:sz w:val="20"/>
          <w:szCs w:val="20"/>
        </w:rPr>
        <w:t>Oxford University Press, 2020</w:t>
      </w:r>
      <w:r>
        <w:rPr>
          <w:rFonts w:hint="eastAsia" w:ascii="宋体" w:hAnsi="宋体"/>
          <w:sz w:val="20"/>
          <w:szCs w:val="20"/>
        </w:rPr>
        <w:t>年；2.《Making</w:t>
      </w:r>
      <w:r>
        <w:rPr>
          <w:rFonts w:ascii="宋体" w:hAnsi="宋体"/>
          <w:sz w:val="20"/>
          <w:szCs w:val="20"/>
        </w:rPr>
        <w:t xml:space="preserve"> Health Policy</w:t>
      </w:r>
      <w:r>
        <w:rPr>
          <w:rFonts w:hint="eastAsia" w:ascii="宋体" w:hAnsi="宋体"/>
          <w:sz w:val="20"/>
          <w:szCs w:val="20"/>
        </w:rPr>
        <w:t>》，K</w:t>
      </w:r>
      <w:r>
        <w:rPr>
          <w:rFonts w:ascii="宋体" w:hAnsi="宋体"/>
          <w:sz w:val="20"/>
          <w:szCs w:val="20"/>
        </w:rPr>
        <w:t xml:space="preserve">ent Buse &amp; Gill Walt, </w:t>
      </w:r>
      <w:r>
        <w:rPr>
          <w:rFonts w:hint="eastAsia" w:ascii="宋体" w:hAnsi="宋体"/>
          <w:sz w:val="20"/>
          <w:szCs w:val="20"/>
        </w:rPr>
        <w:t>O</w:t>
      </w:r>
      <w:r>
        <w:rPr>
          <w:rFonts w:ascii="宋体" w:hAnsi="宋体"/>
          <w:sz w:val="20"/>
          <w:szCs w:val="20"/>
        </w:rPr>
        <w:t>pen University Press</w:t>
      </w:r>
      <w:r>
        <w:rPr>
          <w:rFonts w:hint="eastAsia" w:ascii="宋体" w:hAnsi="宋体"/>
          <w:sz w:val="20"/>
          <w:szCs w:val="20"/>
        </w:rPr>
        <w:t>，20</w:t>
      </w:r>
      <w:r>
        <w:rPr>
          <w:rFonts w:ascii="宋体" w:hAnsi="宋体"/>
          <w:sz w:val="20"/>
          <w:szCs w:val="20"/>
        </w:rPr>
        <w:t>05</w:t>
      </w:r>
      <w:r>
        <w:rPr>
          <w:rFonts w:hint="eastAsia" w:ascii="宋体" w:hAnsi="宋体"/>
          <w:sz w:val="20"/>
          <w:szCs w:val="20"/>
        </w:rPr>
        <w:t>年；3.《卫生法》，汪建荣，人民卫生出版社，</w:t>
      </w:r>
      <w:r>
        <w:rPr>
          <w:rFonts w:ascii="宋体" w:hAnsi="宋体"/>
          <w:sz w:val="20"/>
          <w:szCs w:val="20"/>
        </w:rPr>
        <w:t>2013</w:t>
      </w:r>
      <w:r>
        <w:rPr>
          <w:rFonts w:hint="eastAsia" w:ascii="宋体" w:hAnsi="宋体"/>
          <w:sz w:val="20"/>
          <w:szCs w:val="20"/>
        </w:rPr>
        <w:t>年第4版</w:t>
      </w:r>
      <w:r>
        <w:rPr>
          <w:rFonts w:ascii="宋体" w:hAnsi="宋体"/>
          <w:sz w:val="20"/>
          <w:szCs w:val="20"/>
        </w:rPr>
        <w:t>】</w:t>
      </w:r>
    </w:p>
    <w:p>
      <w:pPr>
        <w:spacing w:line="288" w:lineRule="auto"/>
        <w:ind w:firstLine="402" w:firstLineChars="200"/>
        <w:rPr>
          <w:rFonts w:ascii="宋体" w:hAnsi="宋体"/>
          <w:sz w:val="20"/>
          <w:szCs w:val="20"/>
        </w:rPr>
      </w:pPr>
      <w:r>
        <w:rPr>
          <w:rFonts w:hint="eastAsia" w:ascii="宋体" w:hAnsi="宋体"/>
          <w:b/>
          <w:bCs/>
          <w:sz w:val="20"/>
          <w:szCs w:val="20"/>
        </w:rPr>
        <w:t>课程网站网址：</w:t>
      </w:r>
      <w:r>
        <w:rPr>
          <w:rFonts w:hint="eastAsia" w:ascii="宋体" w:hAnsi="宋体"/>
          <w:sz w:val="20"/>
          <w:szCs w:val="20"/>
        </w:rPr>
        <w:t>无</w:t>
      </w:r>
    </w:p>
    <w:p>
      <w:pPr>
        <w:spacing w:line="288" w:lineRule="auto"/>
        <w:ind w:firstLine="402" w:firstLineChars="200"/>
        <w:rPr>
          <w:rFonts w:ascii="宋体" w:hAnsi="宋体"/>
          <w:bCs/>
          <w:sz w:val="20"/>
          <w:szCs w:val="20"/>
        </w:rPr>
      </w:pPr>
      <w:r>
        <w:rPr>
          <w:rFonts w:hint="eastAsia" w:ascii="宋体" w:hAnsi="宋体"/>
          <w:b/>
          <w:bCs/>
          <w:sz w:val="20"/>
          <w:szCs w:val="20"/>
        </w:rPr>
        <w:t>先修课程：</w:t>
      </w:r>
      <w:r>
        <w:rPr>
          <w:rFonts w:hint="eastAsia" w:ascii="宋体" w:hAnsi="宋体"/>
          <w:sz w:val="20"/>
          <w:szCs w:val="20"/>
        </w:rPr>
        <w:t>无</w:t>
      </w:r>
    </w:p>
    <w:p>
      <w:pPr>
        <w:snapToGrid w:val="0"/>
        <w:spacing w:before="156" w:beforeLines="50" w:after="156" w:afterLines="50" w:line="288" w:lineRule="auto"/>
        <w:ind w:firstLine="360" w:firstLineChars="150"/>
        <w:rPr>
          <w:b/>
          <w:sz w:val="24"/>
          <w:szCs w:val="20"/>
        </w:rPr>
      </w:pPr>
      <w:r>
        <w:rPr>
          <w:rFonts w:hint="eastAsia" w:ascii="黑体" w:hAnsi="宋体" w:eastAsia="黑体"/>
          <w:sz w:val="24"/>
        </w:rPr>
        <w:t>二、课程简介</w:t>
      </w:r>
    </w:p>
    <w:p>
      <w:pPr>
        <w:spacing w:line="312" w:lineRule="auto"/>
        <w:ind w:firstLine="400" w:firstLineChars="200"/>
        <w:rPr>
          <w:rFonts w:ascii="宋体" w:hAnsi="宋体"/>
          <w:sz w:val="20"/>
          <w:szCs w:val="20"/>
        </w:rPr>
      </w:pPr>
      <w:bookmarkStart w:id="1" w:name="_Hlk53759405"/>
      <w:r>
        <w:rPr>
          <w:rFonts w:hint="eastAsia" w:ascii="宋体" w:hAnsi="宋体"/>
          <w:sz w:val="20"/>
          <w:szCs w:val="20"/>
        </w:rPr>
        <w:t>《健康管理政策与法规》是</w:t>
      </w:r>
      <w:r>
        <w:rPr>
          <w:rFonts w:hint="eastAsia" w:ascii="宋体" w:hAnsi="宋体" w:cstheme="minorEastAsia"/>
          <w:sz w:val="20"/>
          <w:szCs w:val="20"/>
        </w:rPr>
        <w:t>健康服务与管理</w:t>
      </w:r>
      <w:r>
        <w:rPr>
          <w:rFonts w:hint="eastAsia" w:ascii="宋体" w:hAnsi="宋体"/>
          <w:sz w:val="20"/>
          <w:szCs w:val="20"/>
        </w:rPr>
        <w:t>专业学生的一门专业必修课程。</w:t>
      </w:r>
      <w:r>
        <w:rPr>
          <w:rFonts w:ascii="宋体" w:hAnsi="宋体" w:cs="Arial"/>
          <w:sz w:val="20"/>
          <w:szCs w:val="20"/>
          <w:shd w:val="clear" w:color="auto" w:fill="FFFFFF"/>
        </w:rPr>
        <w:t>国务院印发的《“健康中国2030”规划纲要》，表明“健康中国”已正式上升为国家发展战略，继互联网产业之后，大健康产业成为中国经济的新引擎。</w:t>
      </w:r>
      <w:r>
        <w:rPr>
          <w:rFonts w:hint="eastAsia" w:ascii="宋体" w:hAnsi="宋体"/>
          <w:sz w:val="20"/>
          <w:szCs w:val="20"/>
        </w:rPr>
        <w:t>健康管理政策与法规的制定与实施对于推动现代健康管理模式的发展有着积极的意义，熟悉健康管理政策与法规对于医疗机构与健康相关产业的管理有着非常重要的作用。通过学习健康管理政策与法规，可以培养学生依法实施健康管理的意识，提升学生分析问题和解决健康管理实际问题的综合能力，增强法律意识，深刻理解与领悟健康行业中不同领域的法规，培养学生分析和执行健康管理政策的能力，提升学生的职业素养，为学生未来工作奠定政策理论基础。</w:t>
      </w:r>
    </w:p>
    <w:p>
      <w:pPr>
        <w:spacing w:line="312" w:lineRule="auto"/>
        <w:ind w:firstLine="400" w:firstLineChars="200"/>
        <w:rPr>
          <w:rFonts w:ascii="宋体" w:hAnsi="宋体"/>
          <w:sz w:val="20"/>
          <w:szCs w:val="20"/>
        </w:rPr>
      </w:pPr>
      <w:r>
        <w:rPr>
          <w:rFonts w:hint="eastAsia" w:cs="Arial" w:asciiTheme="minorEastAsia" w:hAnsiTheme="minorEastAsia" w:eastAsiaTheme="minorEastAsia"/>
          <w:sz w:val="20"/>
          <w:szCs w:val="20"/>
          <w:shd w:val="clear" w:color="auto" w:fill="FFFFFF"/>
        </w:rPr>
        <w:t>本课程教学总时数</w:t>
      </w:r>
      <w:r>
        <w:rPr>
          <w:rFonts w:cs="Arial" w:asciiTheme="minorEastAsia" w:hAnsiTheme="minorEastAsia" w:eastAsiaTheme="minorEastAsia"/>
          <w:sz w:val="20"/>
          <w:szCs w:val="20"/>
          <w:shd w:val="clear" w:color="auto" w:fill="FFFFFF"/>
        </w:rPr>
        <w:t>32</w:t>
      </w:r>
      <w:r>
        <w:rPr>
          <w:rFonts w:hint="eastAsia" w:cs="Arial" w:asciiTheme="minorEastAsia" w:hAnsiTheme="minorEastAsia" w:eastAsiaTheme="minorEastAsia"/>
          <w:sz w:val="20"/>
          <w:szCs w:val="20"/>
          <w:shd w:val="clear" w:color="auto" w:fill="FFFFFF"/>
        </w:rPr>
        <w:t>学时，其中理论教学</w:t>
      </w:r>
      <w:r>
        <w:rPr>
          <w:rFonts w:cs="Arial" w:asciiTheme="minorEastAsia" w:hAnsiTheme="minorEastAsia" w:eastAsiaTheme="minorEastAsia"/>
          <w:sz w:val="20"/>
          <w:szCs w:val="20"/>
          <w:shd w:val="clear" w:color="auto" w:fill="FFFFFF"/>
        </w:rPr>
        <w:t>24</w:t>
      </w:r>
      <w:r>
        <w:rPr>
          <w:rFonts w:hint="eastAsia" w:cs="Arial" w:asciiTheme="minorEastAsia" w:hAnsiTheme="minorEastAsia" w:eastAsiaTheme="minorEastAsia"/>
          <w:sz w:val="20"/>
          <w:szCs w:val="20"/>
          <w:shd w:val="clear" w:color="auto" w:fill="FFFFFF"/>
        </w:rPr>
        <w:t>学时，实践教学</w:t>
      </w:r>
      <w:r>
        <w:rPr>
          <w:rFonts w:cs="Arial" w:asciiTheme="minorEastAsia" w:hAnsiTheme="minorEastAsia" w:eastAsiaTheme="minorEastAsia"/>
          <w:sz w:val="20"/>
          <w:szCs w:val="20"/>
          <w:shd w:val="clear" w:color="auto" w:fill="FFFFFF"/>
        </w:rPr>
        <w:t>8</w:t>
      </w:r>
      <w:r>
        <w:rPr>
          <w:rFonts w:hint="eastAsia" w:cs="Arial" w:asciiTheme="minorEastAsia" w:hAnsiTheme="minorEastAsia" w:eastAsiaTheme="minorEastAsia"/>
          <w:sz w:val="20"/>
          <w:szCs w:val="20"/>
          <w:shd w:val="clear" w:color="auto" w:fill="FFFFFF"/>
        </w:rPr>
        <w:t>学时。</w:t>
      </w:r>
      <w:bookmarkEnd w:id="1"/>
      <w:r>
        <w:rPr>
          <w:rFonts w:ascii="宋体" w:hAnsi="宋体"/>
          <w:sz w:val="20"/>
          <w:szCs w:val="20"/>
        </w:rPr>
        <w:t xml:space="preserve"> </w:t>
      </w:r>
    </w:p>
    <w:p>
      <w:pPr>
        <w:adjustRightInd w:val="0"/>
        <w:snapToGrid w:val="0"/>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三、选课建议</w:t>
      </w:r>
    </w:p>
    <w:p>
      <w:pPr>
        <w:spacing w:line="288" w:lineRule="auto"/>
        <w:ind w:firstLine="400" w:firstLineChars="200"/>
        <w:rPr>
          <w:sz w:val="20"/>
          <w:szCs w:val="20"/>
        </w:rPr>
      </w:pPr>
      <w:r>
        <w:rPr>
          <w:rFonts w:hint="eastAsia"/>
          <w:sz w:val="20"/>
          <w:szCs w:val="20"/>
        </w:rPr>
        <w:t>学习</w:t>
      </w:r>
      <w:r>
        <w:rPr>
          <w:rFonts w:hint="eastAsia" w:ascii="宋体" w:hAnsi="宋体"/>
          <w:sz w:val="20"/>
          <w:szCs w:val="20"/>
        </w:rPr>
        <w:t>《健康管理政策与法规》课程是健康服务与管理专业学生开展工作的基础。</w:t>
      </w:r>
      <w:r>
        <w:rPr>
          <w:rFonts w:hint="eastAsia"/>
          <w:sz w:val="20"/>
          <w:szCs w:val="20"/>
        </w:rPr>
        <w:t>建议安排在健康服务与管理专业第一学年第二学期开设。</w:t>
      </w:r>
    </w:p>
    <w:p>
      <w:pPr>
        <w:adjustRightInd w:val="0"/>
        <w:snapToGrid w:val="0"/>
        <w:spacing w:before="156" w:beforeLines="50" w:line="288" w:lineRule="auto"/>
        <w:ind w:firstLine="480" w:firstLineChars="200"/>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019" w:tblpY="242"/>
        <w:tblOverlap w:val="never"/>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rPr>
                <w:kern w:val="0"/>
                <w:sz w:val="20"/>
                <w:szCs w:val="20"/>
              </w:rPr>
            </w:pPr>
            <w:r>
              <w:rPr>
                <w:rFonts w:hint="eastAsia" w:ascii="仿宋" w:hAnsi="仿宋" w:eastAsia="仿宋" w:cs="宋体"/>
                <w:kern w:val="0"/>
                <w:sz w:val="24"/>
                <w:szCs w:val="24"/>
              </w:rPr>
              <w:t>LO11：表达沟通：应用书面和语言形式，分析健康问题，拟定健康改善计划，并能精准表达，让对方乐意接受，形成良性互动。</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LO33：健康教育：能确定服务对象的健康需求，并采用合适的健康教育方法。</w:t>
            </w:r>
          </w:p>
        </w:tc>
        <w:tc>
          <w:tcPr>
            <w:tcW w:w="79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LO35：健康咨询：掌握健康保健专业知识，为服务对象提供健康咨询服务。</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Borders>
              <w:top w:val="single" w:color="auto" w:sz="4" w:space="0"/>
              <w:left w:val="single" w:color="auto" w:sz="4" w:space="0"/>
              <w:bottom w:val="single" w:color="auto" w:sz="4" w:space="0"/>
              <w:right w:val="single" w:color="auto" w:sz="4" w:space="0"/>
            </w:tcBorders>
            <w:vAlign w:val="center"/>
          </w:tcPr>
          <w:p>
            <w:pPr>
              <w:widowControl/>
              <w:rPr>
                <w:kern w:val="0"/>
                <w:sz w:val="20"/>
                <w:szCs w:val="20"/>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0"/>
              </w:rPr>
            </w:pPr>
            <w:r>
              <w:rPr>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Pr>
        <w:spacing w:before="156" w:beforeLines="50" w:after="156" w:afterLines="50" w:line="288" w:lineRule="auto"/>
        <w:ind w:firstLine="480" w:firstLineChars="20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26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381"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300" w:lineRule="exact"/>
              <w:jc w:val="center"/>
              <w:rPr>
                <w:rFonts w:ascii="仿宋" w:hAnsi="仿宋" w:eastAsia="仿宋"/>
                <w:bCs/>
                <w:sz w:val="24"/>
                <w:szCs w:val="24"/>
              </w:rPr>
            </w:pPr>
            <w:r>
              <w:rPr>
                <w:rFonts w:hint="eastAsia" w:ascii="仿宋" w:hAnsi="仿宋" w:eastAsia="仿宋"/>
                <w:bCs/>
                <w:sz w:val="24"/>
                <w:szCs w:val="24"/>
              </w:rPr>
              <w:t>1</w:t>
            </w:r>
          </w:p>
        </w:tc>
        <w:tc>
          <w:tcPr>
            <w:tcW w:w="1264" w:type="dxa"/>
            <w:shd w:val="clear" w:color="auto" w:fill="auto"/>
            <w:vAlign w:val="center"/>
          </w:tcPr>
          <w:p>
            <w:pPr>
              <w:spacing w:line="300" w:lineRule="exact"/>
              <w:jc w:val="center"/>
              <w:rPr>
                <w:rFonts w:ascii="仿宋" w:hAnsi="仿宋" w:eastAsia="仿宋"/>
                <w:bCs/>
                <w:sz w:val="24"/>
                <w:szCs w:val="24"/>
              </w:rPr>
            </w:pPr>
            <w:r>
              <w:rPr>
                <w:rFonts w:ascii="仿宋" w:hAnsi="仿宋" w:eastAsia="仿宋"/>
                <w:bCs/>
                <w:sz w:val="24"/>
                <w:szCs w:val="24"/>
              </w:rPr>
              <w:t>LO21</w:t>
            </w:r>
          </w:p>
        </w:tc>
        <w:tc>
          <w:tcPr>
            <w:tcW w:w="2381" w:type="dxa"/>
            <w:shd w:val="clear" w:color="auto" w:fill="auto"/>
            <w:vAlign w:val="center"/>
          </w:tcPr>
          <w:p>
            <w:pPr>
              <w:snapToGrid w:val="0"/>
              <w:spacing w:line="300" w:lineRule="exact"/>
              <w:rPr>
                <w:rFonts w:ascii="仿宋" w:hAnsi="仿宋" w:eastAsia="仿宋"/>
                <w:bCs/>
                <w:sz w:val="24"/>
                <w:szCs w:val="24"/>
              </w:rPr>
            </w:pPr>
            <w:r>
              <w:rPr>
                <w:rFonts w:hint="eastAsia" w:ascii="仿宋" w:hAnsi="仿宋" w:eastAsia="仿宋" w:cs="宋体"/>
                <w:bCs/>
                <w:kern w:val="0"/>
                <w:sz w:val="24"/>
                <w:szCs w:val="24"/>
              </w:rPr>
              <w:t>能自主学习，结合专业知识主动地通过搜集所需信息、分析与健康管理政策与法规相关的问题。学生具有制定、执行和评估健康管理政策的能力。</w:t>
            </w:r>
          </w:p>
        </w:tc>
        <w:tc>
          <w:tcPr>
            <w:tcW w:w="2199" w:type="dxa"/>
            <w:shd w:val="clear" w:color="auto" w:fill="auto"/>
            <w:vAlign w:val="center"/>
          </w:tcPr>
          <w:p>
            <w:pPr>
              <w:snapToGrid w:val="0"/>
              <w:spacing w:line="300" w:lineRule="exact"/>
              <w:jc w:val="center"/>
              <w:rPr>
                <w:rFonts w:ascii="仿宋" w:hAnsi="仿宋" w:eastAsia="仿宋"/>
                <w:bCs/>
                <w:sz w:val="24"/>
                <w:szCs w:val="24"/>
              </w:rPr>
            </w:pPr>
            <w:r>
              <w:rPr>
                <w:rFonts w:hint="eastAsia" w:ascii="仿宋" w:hAnsi="仿宋" w:eastAsia="仿宋"/>
                <w:bCs/>
                <w:sz w:val="24"/>
                <w:szCs w:val="24"/>
              </w:rPr>
              <w:t>讨论法</w:t>
            </w:r>
          </w:p>
          <w:p>
            <w:pPr>
              <w:snapToGrid w:val="0"/>
              <w:spacing w:line="300" w:lineRule="exact"/>
              <w:jc w:val="center"/>
              <w:rPr>
                <w:rFonts w:ascii="仿宋" w:hAnsi="仿宋" w:eastAsia="仿宋"/>
                <w:bCs/>
                <w:sz w:val="24"/>
                <w:szCs w:val="24"/>
              </w:rPr>
            </w:pPr>
            <w:r>
              <w:rPr>
                <w:rFonts w:hint="eastAsia" w:ascii="仿宋" w:hAnsi="仿宋" w:eastAsia="仿宋"/>
                <w:bCs/>
                <w:sz w:val="24"/>
                <w:szCs w:val="24"/>
              </w:rPr>
              <w:t>自主学习</w:t>
            </w:r>
          </w:p>
        </w:tc>
        <w:tc>
          <w:tcPr>
            <w:tcW w:w="1276" w:type="dxa"/>
            <w:shd w:val="clear" w:color="auto" w:fill="auto"/>
            <w:vAlign w:val="center"/>
          </w:tcPr>
          <w:p>
            <w:pPr>
              <w:snapToGrid w:val="0"/>
              <w:spacing w:line="300" w:lineRule="exact"/>
              <w:rPr>
                <w:rFonts w:ascii="仿宋" w:hAnsi="仿宋" w:eastAsia="仿宋"/>
                <w:bCs/>
                <w:sz w:val="24"/>
                <w:szCs w:val="24"/>
              </w:rPr>
            </w:pPr>
            <w:r>
              <w:rPr>
                <w:rFonts w:hint="eastAsia" w:ascii="仿宋" w:hAnsi="仿宋" w:eastAsia="仿宋"/>
                <w:bCs/>
                <w:sz w:val="24"/>
                <w:szCs w:val="24"/>
              </w:rPr>
              <w:t>口头评价</w:t>
            </w:r>
          </w:p>
          <w:p>
            <w:pPr>
              <w:snapToGrid w:val="0"/>
              <w:spacing w:line="300" w:lineRule="exact"/>
              <w:rPr>
                <w:rFonts w:ascii="仿宋" w:hAnsi="仿宋" w:eastAsia="仿宋"/>
                <w:bCs/>
                <w:sz w:val="24"/>
                <w:szCs w:val="24"/>
              </w:rPr>
            </w:pPr>
            <w:r>
              <w:rPr>
                <w:rFonts w:hint="eastAsia" w:ascii="仿宋" w:hAnsi="仿宋" w:eastAsia="仿宋"/>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2</w:t>
            </w:r>
          </w:p>
        </w:tc>
        <w:tc>
          <w:tcPr>
            <w:tcW w:w="1264" w:type="dxa"/>
            <w:shd w:val="clear" w:color="auto" w:fill="auto"/>
            <w:vAlign w:val="center"/>
          </w:tcPr>
          <w:p>
            <w:pPr>
              <w:jc w:val="center"/>
              <w:rPr>
                <w:rFonts w:ascii="仿宋" w:hAnsi="仿宋" w:eastAsia="仿宋"/>
                <w:bCs/>
                <w:sz w:val="24"/>
                <w:szCs w:val="24"/>
              </w:rPr>
            </w:pPr>
            <w:r>
              <w:rPr>
                <w:rFonts w:ascii="仿宋" w:hAnsi="仿宋" w:eastAsia="仿宋"/>
                <w:bCs/>
                <w:sz w:val="24"/>
                <w:szCs w:val="24"/>
              </w:rPr>
              <w:t>LO41</w:t>
            </w:r>
          </w:p>
        </w:tc>
        <w:tc>
          <w:tcPr>
            <w:tcW w:w="2381" w:type="dxa"/>
            <w:shd w:val="clear" w:color="auto" w:fill="auto"/>
            <w:vAlign w:val="center"/>
          </w:tcPr>
          <w:p>
            <w:pPr>
              <w:snapToGrid w:val="0"/>
              <w:spacing w:line="340" w:lineRule="exact"/>
              <w:rPr>
                <w:rFonts w:ascii="仿宋" w:hAnsi="仿宋" w:eastAsia="仿宋"/>
                <w:bCs/>
                <w:kern w:val="0"/>
                <w:sz w:val="24"/>
                <w:szCs w:val="24"/>
              </w:rPr>
            </w:pPr>
            <w:r>
              <w:rPr>
                <w:rFonts w:hint="eastAsia" w:ascii="仿宋" w:hAnsi="仿宋" w:eastAsia="仿宋" w:cs="宋体"/>
                <w:bCs/>
                <w:kern w:val="0"/>
                <w:sz w:val="24"/>
                <w:szCs w:val="24"/>
              </w:rPr>
              <w:t>培养尽责抗压能力。学生在学习和社会实践中遵守相关法律法规和健康企业管理准则，具备职业道德素养。能承受学习和生活压力。</w:t>
            </w:r>
          </w:p>
        </w:tc>
        <w:tc>
          <w:tcPr>
            <w:tcW w:w="2199" w:type="dxa"/>
            <w:shd w:val="clear" w:color="auto" w:fill="auto"/>
            <w:vAlign w:val="center"/>
          </w:tcPr>
          <w:p>
            <w:pPr>
              <w:snapToGrid w:val="0"/>
              <w:spacing w:line="340" w:lineRule="exact"/>
              <w:jc w:val="center"/>
              <w:rPr>
                <w:rFonts w:ascii="仿宋" w:hAnsi="仿宋" w:eastAsia="仿宋"/>
                <w:bCs/>
                <w:sz w:val="24"/>
                <w:szCs w:val="24"/>
              </w:rPr>
            </w:pPr>
            <w:r>
              <w:rPr>
                <w:rFonts w:hint="eastAsia" w:ascii="仿宋" w:hAnsi="仿宋" w:eastAsia="仿宋"/>
                <w:bCs/>
                <w:sz w:val="24"/>
                <w:szCs w:val="24"/>
              </w:rPr>
              <w:t>讨论法</w:t>
            </w:r>
          </w:p>
          <w:p>
            <w:pPr>
              <w:snapToGrid w:val="0"/>
              <w:spacing w:line="340" w:lineRule="exact"/>
              <w:jc w:val="center"/>
              <w:rPr>
                <w:rFonts w:ascii="仿宋" w:hAnsi="仿宋" w:eastAsia="仿宋"/>
                <w:bCs/>
                <w:sz w:val="24"/>
                <w:szCs w:val="24"/>
              </w:rPr>
            </w:pPr>
            <w:r>
              <w:rPr>
                <w:rFonts w:hint="eastAsia" w:ascii="仿宋" w:hAnsi="仿宋" w:eastAsia="仿宋"/>
                <w:bCs/>
                <w:sz w:val="24"/>
                <w:szCs w:val="24"/>
              </w:rPr>
              <w:t>自主学习</w:t>
            </w:r>
          </w:p>
        </w:tc>
        <w:tc>
          <w:tcPr>
            <w:tcW w:w="1276" w:type="dxa"/>
            <w:shd w:val="clear" w:color="auto" w:fill="auto"/>
            <w:vAlign w:val="center"/>
          </w:tcPr>
          <w:p>
            <w:pPr>
              <w:snapToGrid w:val="0"/>
              <w:spacing w:line="340" w:lineRule="exact"/>
              <w:rPr>
                <w:rFonts w:ascii="仿宋" w:hAnsi="仿宋" w:eastAsia="仿宋"/>
                <w:bCs/>
                <w:sz w:val="24"/>
                <w:szCs w:val="24"/>
              </w:rPr>
            </w:pPr>
            <w:r>
              <w:rPr>
                <w:rFonts w:hint="eastAsia" w:ascii="仿宋" w:hAnsi="仿宋" w:eastAsia="仿宋"/>
                <w:bCs/>
                <w:sz w:val="24"/>
                <w:szCs w:val="24"/>
              </w:rPr>
              <w:t>口头评价</w:t>
            </w:r>
          </w:p>
          <w:p>
            <w:pPr>
              <w:snapToGrid w:val="0"/>
              <w:spacing w:line="340" w:lineRule="exact"/>
              <w:rPr>
                <w:rFonts w:ascii="仿宋" w:hAnsi="仿宋" w:eastAsia="仿宋"/>
                <w:bCs/>
                <w:sz w:val="24"/>
                <w:szCs w:val="24"/>
              </w:rPr>
            </w:pPr>
            <w:r>
              <w:rPr>
                <w:rFonts w:hint="eastAsia" w:ascii="仿宋" w:hAnsi="仿宋" w:eastAsia="仿宋"/>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3</w:t>
            </w:r>
          </w:p>
        </w:tc>
        <w:tc>
          <w:tcPr>
            <w:tcW w:w="1264" w:type="dxa"/>
            <w:shd w:val="clear" w:color="auto" w:fill="auto"/>
            <w:vAlign w:val="center"/>
          </w:tcPr>
          <w:p>
            <w:pPr>
              <w:jc w:val="center"/>
              <w:rPr>
                <w:rFonts w:ascii="仿宋" w:hAnsi="仿宋" w:eastAsia="仿宋"/>
                <w:bCs/>
                <w:sz w:val="24"/>
                <w:szCs w:val="24"/>
              </w:rPr>
            </w:pPr>
            <w:r>
              <w:rPr>
                <w:rFonts w:ascii="仿宋" w:hAnsi="仿宋" w:eastAsia="仿宋"/>
                <w:bCs/>
                <w:sz w:val="24"/>
                <w:szCs w:val="24"/>
              </w:rPr>
              <w:t>LO51</w:t>
            </w:r>
          </w:p>
        </w:tc>
        <w:tc>
          <w:tcPr>
            <w:tcW w:w="2381" w:type="dxa"/>
            <w:shd w:val="clear" w:color="auto" w:fill="auto"/>
            <w:vAlign w:val="center"/>
          </w:tcPr>
          <w:p>
            <w:pPr>
              <w:snapToGrid w:val="0"/>
              <w:spacing w:line="340" w:lineRule="exact"/>
              <w:rPr>
                <w:rFonts w:ascii="仿宋" w:hAnsi="仿宋" w:eastAsia="仿宋"/>
                <w:bCs/>
                <w:sz w:val="24"/>
                <w:szCs w:val="24"/>
              </w:rPr>
            </w:pPr>
            <w:r>
              <w:rPr>
                <w:rFonts w:hint="eastAsia" w:ascii="仿宋" w:hAnsi="仿宋" w:eastAsia="仿宋"/>
                <w:bCs/>
                <w:sz w:val="24"/>
                <w:szCs w:val="24"/>
              </w:rPr>
              <w:t>具运用团队协作精神一起制定有效可行的健康管理政策方案。具有创新精神</w:t>
            </w:r>
          </w:p>
        </w:tc>
        <w:tc>
          <w:tcPr>
            <w:tcW w:w="2199" w:type="dxa"/>
            <w:shd w:val="clear" w:color="auto" w:fill="auto"/>
            <w:vAlign w:val="center"/>
          </w:tcPr>
          <w:p>
            <w:pPr>
              <w:snapToGrid w:val="0"/>
              <w:spacing w:line="340" w:lineRule="exact"/>
              <w:jc w:val="center"/>
              <w:rPr>
                <w:rFonts w:ascii="仿宋" w:hAnsi="仿宋" w:eastAsia="仿宋"/>
                <w:bCs/>
                <w:sz w:val="24"/>
                <w:szCs w:val="24"/>
              </w:rPr>
            </w:pPr>
            <w:r>
              <w:rPr>
                <w:rFonts w:hint="eastAsia" w:ascii="仿宋" w:hAnsi="仿宋" w:eastAsia="仿宋"/>
                <w:bCs/>
                <w:sz w:val="24"/>
                <w:szCs w:val="24"/>
              </w:rPr>
              <w:t>讨论法</w:t>
            </w:r>
          </w:p>
          <w:p>
            <w:pPr>
              <w:snapToGrid w:val="0"/>
              <w:spacing w:line="340" w:lineRule="exact"/>
              <w:jc w:val="center"/>
              <w:rPr>
                <w:rFonts w:ascii="仿宋" w:hAnsi="仿宋" w:eastAsia="仿宋"/>
                <w:bCs/>
                <w:sz w:val="24"/>
                <w:szCs w:val="24"/>
              </w:rPr>
            </w:pPr>
            <w:r>
              <w:rPr>
                <w:rFonts w:hint="eastAsia" w:ascii="仿宋" w:hAnsi="仿宋" w:eastAsia="仿宋"/>
                <w:bCs/>
                <w:sz w:val="24"/>
                <w:szCs w:val="24"/>
              </w:rPr>
              <w:t>自主学习</w:t>
            </w:r>
          </w:p>
        </w:tc>
        <w:tc>
          <w:tcPr>
            <w:tcW w:w="1276" w:type="dxa"/>
            <w:shd w:val="clear" w:color="auto" w:fill="auto"/>
            <w:vAlign w:val="center"/>
          </w:tcPr>
          <w:p>
            <w:pPr>
              <w:snapToGrid w:val="0"/>
              <w:spacing w:line="340" w:lineRule="exact"/>
              <w:rPr>
                <w:rFonts w:ascii="仿宋" w:hAnsi="仿宋" w:eastAsia="仿宋"/>
                <w:bCs/>
                <w:sz w:val="24"/>
                <w:szCs w:val="24"/>
              </w:rPr>
            </w:pPr>
            <w:r>
              <w:rPr>
                <w:rFonts w:hint="eastAsia" w:ascii="仿宋" w:hAnsi="仿宋" w:eastAsia="仿宋"/>
                <w:bCs/>
                <w:sz w:val="24"/>
                <w:szCs w:val="24"/>
              </w:rPr>
              <w:t>口头评价</w:t>
            </w:r>
          </w:p>
          <w:p>
            <w:pPr>
              <w:snapToGrid w:val="0"/>
              <w:spacing w:line="340" w:lineRule="exact"/>
              <w:rPr>
                <w:rFonts w:ascii="仿宋" w:hAnsi="仿宋" w:eastAsia="仿宋"/>
                <w:bCs/>
                <w:sz w:val="24"/>
                <w:szCs w:val="24"/>
              </w:rPr>
            </w:pPr>
            <w:r>
              <w:rPr>
                <w:rFonts w:hint="eastAsia" w:ascii="仿宋" w:hAnsi="仿宋" w:eastAsia="仿宋"/>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4</w:t>
            </w:r>
          </w:p>
        </w:tc>
        <w:tc>
          <w:tcPr>
            <w:tcW w:w="1264" w:type="dxa"/>
            <w:shd w:val="clear" w:color="auto" w:fill="auto"/>
            <w:vAlign w:val="center"/>
          </w:tcPr>
          <w:p>
            <w:pPr>
              <w:jc w:val="center"/>
              <w:rPr>
                <w:rFonts w:ascii="仿宋" w:hAnsi="仿宋" w:eastAsia="仿宋"/>
                <w:bCs/>
                <w:sz w:val="24"/>
                <w:szCs w:val="24"/>
              </w:rPr>
            </w:pPr>
            <w:r>
              <w:rPr>
                <w:rFonts w:ascii="仿宋" w:hAnsi="仿宋" w:eastAsia="仿宋"/>
                <w:bCs/>
                <w:sz w:val="24"/>
                <w:szCs w:val="24"/>
              </w:rPr>
              <w:t>LO81</w:t>
            </w:r>
          </w:p>
        </w:tc>
        <w:tc>
          <w:tcPr>
            <w:tcW w:w="2381" w:type="dxa"/>
            <w:shd w:val="clear" w:color="auto" w:fill="auto"/>
            <w:vAlign w:val="center"/>
          </w:tcPr>
          <w:p>
            <w:pPr>
              <w:snapToGrid w:val="0"/>
              <w:spacing w:line="340" w:lineRule="exact"/>
              <w:rPr>
                <w:rFonts w:ascii="仿宋" w:hAnsi="仿宋" w:eastAsia="仿宋"/>
                <w:bCs/>
                <w:sz w:val="24"/>
                <w:szCs w:val="24"/>
              </w:rPr>
            </w:pPr>
            <w:r>
              <w:rPr>
                <w:rFonts w:hint="eastAsia" w:ascii="仿宋" w:hAnsi="仿宋" w:eastAsia="仿宋" w:cs="宋体"/>
                <w:bCs/>
                <w:kern w:val="0"/>
                <w:sz w:val="24"/>
                <w:szCs w:val="24"/>
              </w:rPr>
              <w:t>培养学生国际视野。学生具有运用一门外语阅读健康管理政策与法规学科相关文献以及具有简单会话能力。有跨文化交流能力。</w:t>
            </w:r>
          </w:p>
        </w:tc>
        <w:tc>
          <w:tcPr>
            <w:tcW w:w="2199" w:type="dxa"/>
            <w:shd w:val="clear" w:color="auto" w:fill="auto"/>
            <w:vAlign w:val="center"/>
          </w:tcPr>
          <w:p>
            <w:pPr>
              <w:snapToGrid w:val="0"/>
              <w:spacing w:line="340" w:lineRule="exact"/>
              <w:jc w:val="center"/>
              <w:rPr>
                <w:rFonts w:ascii="仿宋" w:hAnsi="仿宋" w:eastAsia="仿宋"/>
                <w:bCs/>
                <w:sz w:val="24"/>
                <w:szCs w:val="24"/>
              </w:rPr>
            </w:pPr>
            <w:r>
              <w:rPr>
                <w:rFonts w:hint="eastAsia" w:ascii="仿宋" w:hAnsi="仿宋" w:eastAsia="仿宋"/>
                <w:bCs/>
                <w:sz w:val="24"/>
                <w:szCs w:val="24"/>
              </w:rPr>
              <w:t>小组合作学习</w:t>
            </w:r>
          </w:p>
          <w:p>
            <w:pPr>
              <w:snapToGrid w:val="0"/>
              <w:spacing w:line="340" w:lineRule="exact"/>
              <w:jc w:val="center"/>
              <w:rPr>
                <w:rFonts w:ascii="仿宋" w:hAnsi="仿宋" w:eastAsia="仿宋"/>
                <w:bCs/>
                <w:sz w:val="24"/>
                <w:szCs w:val="24"/>
              </w:rPr>
            </w:pPr>
            <w:r>
              <w:rPr>
                <w:rFonts w:hint="eastAsia" w:ascii="仿宋" w:hAnsi="仿宋" w:eastAsia="仿宋"/>
                <w:bCs/>
                <w:sz w:val="24"/>
                <w:szCs w:val="24"/>
              </w:rPr>
              <w:t>讨论法</w:t>
            </w:r>
          </w:p>
        </w:tc>
        <w:tc>
          <w:tcPr>
            <w:tcW w:w="1276" w:type="dxa"/>
            <w:shd w:val="clear" w:color="auto" w:fill="auto"/>
            <w:vAlign w:val="center"/>
          </w:tcPr>
          <w:p>
            <w:pPr>
              <w:snapToGrid w:val="0"/>
              <w:spacing w:line="340" w:lineRule="exact"/>
              <w:rPr>
                <w:rFonts w:ascii="仿宋" w:hAnsi="仿宋" w:eastAsia="仿宋"/>
                <w:bCs/>
                <w:sz w:val="24"/>
                <w:szCs w:val="24"/>
              </w:rPr>
            </w:pPr>
            <w:r>
              <w:rPr>
                <w:rFonts w:hint="eastAsia" w:ascii="仿宋" w:hAnsi="仿宋" w:eastAsia="仿宋"/>
                <w:bCs/>
                <w:sz w:val="24"/>
                <w:szCs w:val="24"/>
              </w:rPr>
              <w:t>观察评价</w:t>
            </w:r>
          </w:p>
          <w:p>
            <w:pPr>
              <w:snapToGrid w:val="0"/>
              <w:spacing w:line="340" w:lineRule="exact"/>
              <w:rPr>
                <w:rFonts w:ascii="仿宋" w:hAnsi="仿宋" w:eastAsia="仿宋"/>
                <w:bCs/>
                <w:sz w:val="24"/>
                <w:szCs w:val="24"/>
              </w:rPr>
            </w:pPr>
            <w:r>
              <w:rPr>
                <w:rFonts w:hint="eastAsia" w:ascii="仿宋" w:hAnsi="仿宋" w:eastAsia="仿宋"/>
                <w:bCs/>
                <w:sz w:val="24"/>
                <w:szCs w:val="24"/>
              </w:rPr>
              <w:t>口头评价</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683"/>
        <w:gridCol w:w="2196"/>
        <w:gridCol w:w="2047"/>
        <w:gridCol w:w="1212"/>
        <w:gridCol w:w="438"/>
        <w:gridCol w:w="438"/>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683"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单元名称</w:t>
            </w:r>
          </w:p>
        </w:tc>
        <w:tc>
          <w:tcPr>
            <w:tcW w:w="2196"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知识</w:t>
            </w:r>
            <w:r>
              <w:rPr>
                <w:rFonts w:hint="eastAsia" w:ascii="Times New Roman" w:hAnsi="Times New Roman"/>
                <w:b/>
                <w:sz w:val="20"/>
                <w:szCs w:val="20"/>
              </w:rPr>
              <w:t>点</w:t>
            </w:r>
          </w:p>
        </w:tc>
        <w:tc>
          <w:tcPr>
            <w:tcW w:w="2047"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能力目标</w:t>
            </w:r>
          </w:p>
        </w:tc>
        <w:tc>
          <w:tcPr>
            <w:tcW w:w="1212"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教学难点</w:t>
            </w:r>
          </w:p>
        </w:tc>
        <w:tc>
          <w:tcPr>
            <w:tcW w:w="438"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理论时数</w:t>
            </w:r>
          </w:p>
        </w:tc>
        <w:tc>
          <w:tcPr>
            <w:tcW w:w="438"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实践时数</w:t>
            </w:r>
          </w:p>
        </w:tc>
        <w:tc>
          <w:tcPr>
            <w:tcW w:w="438"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1</w:t>
            </w:r>
          </w:p>
        </w:tc>
        <w:tc>
          <w:tcPr>
            <w:tcW w:w="683" w:type="dxa"/>
            <w:vAlign w:val="center"/>
          </w:tcPr>
          <w:p>
            <w:pPr>
              <w:snapToGrid w:val="0"/>
              <w:spacing w:line="280" w:lineRule="exact"/>
              <w:jc w:val="center"/>
              <w:rPr>
                <w:rFonts w:ascii="宋体" w:hAnsi="宋体"/>
                <w:bCs/>
                <w:sz w:val="20"/>
                <w:szCs w:val="20"/>
              </w:rPr>
            </w:pPr>
            <w:r>
              <w:rPr>
                <w:rFonts w:ascii="宋体" w:hAnsi="宋体"/>
                <w:bCs/>
                <w:sz w:val="20"/>
                <w:szCs w:val="20"/>
              </w:rPr>
              <w:t>绪论</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健康管理政策的概念与特点</w:t>
            </w:r>
            <w:r>
              <w:rPr>
                <w:rFonts w:ascii="宋体" w:hAnsi="宋体"/>
                <w:bCs/>
                <w:sz w:val="20"/>
                <w:szCs w:val="20"/>
              </w:rPr>
              <w:t>。</w:t>
            </w:r>
            <w:r>
              <w:rPr>
                <w:rFonts w:hint="eastAsia" w:ascii="宋体" w:hAnsi="宋体"/>
                <w:bCs/>
                <w:sz w:val="20"/>
                <w:szCs w:val="20"/>
              </w:rPr>
              <w:t>卫生法规的概念，卫生法律责任的定义。</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中国健康管理政策的发展,</w:t>
            </w:r>
            <w:r>
              <w:rPr>
                <w:rFonts w:ascii="宋体" w:hAnsi="宋体"/>
                <w:bCs/>
                <w:sz w:val="20"/>
                <w:szCs w:val="20"/>
              </w:rPr>
              <w:t xml:space="preserve"> </w:t>
            </w:r>
            <w:r>
              <w:rPr>
                <w:rFonts w:hint="eastAsia" w:ascii="宋体" w:hAnsi="宋体"/>
                <w:bCs/>
                <w:sz w:val="20"/>
                <w:szCs w:val="20"/>
              </w:rPr>
              <w:t>政策与法规对于健康管理的重要性；卫生法的特征与原则；卫生法律监督。</w:t>
            </w:r>
          </w:p>
        </w:tc>
        <w:tc>
          <w:tcPr>
            <w:tcW w:w="2047" w:type="dxa"/>
          </w:tcPr>
          <w:p>
            <w:pPr>
              <w:snapToGrid w:val="0"/>
              <w:spacing w:line="280" w:lineRule="exact"/>
              <w:rPr>
                <w:rFonts w:ascii="宋体" w:hAnsi="宋体"/>
                <w:sz w:val="20"/>
                <w:szCs w:val="20"/>
              </w:rPr>
            </w:pPr>
            <w:r>
              <w:rPr>
                <w:rFonts w:hint="eastAsia" w:ascii="宋体" w:hAnsi="宋体"/>
                <w:sz w:val="20"/>
                <w:szCs w:val="20"/>
              </w:rPr>
              <w:t>能够掌握健康管理政策的概念与特点；卫生法规与卫生法律责任的定义。</w:t>
            </w:r>
          </w:p>
        </w:tc>
        <w:tc>
          <w:tcPr>
            <w:tcW w:w="1212" w:type="dxa"/>
          </w:tcPr>
          <w:p>
            <w:pPr>
              <w:spacing w:line="280" w:lineRule="exact"/>
              <w:ind w:right="-118" w:rightChars="-56"/>
              <w:jc w:val="left"/>
              <w:rPr>
                <w:rFonts w:ascii="宋体" w:hAnsi="宋体"/>
                <w:sz w:val="20"/>
                <w:szCs w:val="20"/>
              </w:rPr>
            </w:pPr>
            <w:r>
              <w:rPr>
                <w:rFonts w:hint="eastAsia" w:ascii="宋体" w:hAnsi="宋体"/>
                <w:bCs/>
                <w:sz w:val="20"/>
                <w:szCs w:val="20"/>
              </w:rPr>
              <w:t>健康管理政策的概念与特点</w:t>
            </w:r>
            <w:r>
              <w:rPr>
                <w:rFonts w:ascii="宋体" w:hAnsi="宋体"/>
                <w:bCs/>
                <w:sz w:val="20"/>
                <w:szCs w:val="20"/>
              </w:rPr>
              <w:t>。</w:t>
            </w:r>
            <w:r>
              <w:rPr>
                <w:rFonts w:hint="eastAsia" w:ascii="宋体" w:hAnsi="宋体"/>
                <w:bCs/>
                <w:sz w:val="20"/>
                <w:szCs w:val="20"/>
              </w:rPr>
              <w:t>卫生法规的概念，卫生法律责任的定义；卫生法的特征与原则。</w:t>
            </w:r>
          </w:p>
        </w:tc>
        <w:tc>
          <w:tcPr>
            <w:tcW w:w="438" w:type="dxa"/>
            <w:vAlign w:val="center"/>
          </w:tcPr>
          <w:p>
            <w:pPr>
              <w:jc w:val="left"/>
              <w:rPr>
                <w:rFonts w:ascii="宋体" w:hAnsi="宋体"/>
                <w:sz w:val="20"/>
                <w:szCs w:val="20"/>
              </w:rPr>
            </w:pPr>
            <w:r>
              <w:rPr>
                <w:rFonts w:hint="eastAsia" w:ascii="宋体" w:hAnsi="宋体"/>
                <w:sz w:val="20"/>
                <w:szCs w:val="20"/>
              </w:rPr>
              <w:t>1</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2</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医疗机构管理法律制度</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医疗机构的概念与分类；医疗机构的职业。</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医疗机构的登记与效验；医疗机构的法律责任；医疗机构的规划布局和设置审批。</w:t>
            </w:r>
            <w:r>
              <w:rPr>
                <w:rFonts w:ascii="宋体" w:hAnsi="宋体"/>
                <w:bCs/>
                <w:sz w:val="20"/>
                <w:szCs w:val="20"/>
              </w:rPr>
              <w:t xml:space="preserve"> </w:t>
            </w:r>
          </w:p>
        </w:tc>
        <w:tc>
          <w:tcPr>
            <w:tcW w:w="2047" w:type="dxa"/>
          </w:tcPr>
          <w:p>
            <w:pPr>
              <w:snapToGrid w:val="0"/>
              <w:spacing w:line="280" w:lineRule="exact"/>
              <w:rPr>
                <w:rFonts w:ascii="宋体" w:hAnsi="宋体"/>
                <w:b/>
                <w:sz w:val="20"/>
                <w:szCs w:val="20"/>
              </w:rPr>
            </w:pPr>
            <w:r>
              <w:rPr>
                <w:rFonts w:ascii="宋体" w:hAnsi="宋体"/>
                <w:bCs/>
                <w:sz w:val="20"/>
                <w:szCs w:val="20"/>
              </w:rPr>
              <w:t>能</w:t>
            </w:r>
            <w:r>
              <w:rPr>
                <w:rFonts w:hint="eastAsia" w:ascii="宋体" w:hAnsi="宋体"/>
                <w:bCs/>
                <w:sz w:val="20"/>
                <w:szCs w:val="20"/>
              </w:rPr>
              <w:t>识别医疗机构的分类</w:t>
            </w:r>
            <w:r>
              <w:rPr>
                <w:rFonts w:hint="eastAsia" w:ascii="宋体" w:hAnsi="宋体"/>
                <w:sz w:val="20"/>
                <w:szCs w:val="20"/>
              </w:rPr>
              <w:t>，熟悉医疗机构的登记与效验程序。</w:t>
            </w:r>
          </w:p>
        </w:tc>
        <w:tc>
          <w:tcPr>
            <w:tcW w:w="1212" w:type="dxa"/>
          </w:tcPr>
          <w:p>
            <w:pPr>
              <w:snapToGrid w:val="0"/>
              <w:spacing w:line="280" w:lineRule="exact"/>
              <w:ind w:right="-118" w:rightChars="-56"/>
              <w:jc w:val="left"/>
              <w:rPr>
                <w:rFonts w:ascii="宋体" w:hAnsi="宋体"/>
                <w:sz w:val="20"/>
                <w:szCs w:val="20"/>
              </w:rPr>
            </w:pPr>
            <w:r>
              <w:rPr>
                <w:rFonts w:hint="eastAsia" w:ascii="宋体" w:hAnsi="宋体"/>
                <w:bCs/>
                <w:sz w:val="20"/>
                <w:szCs w:val="20"/>
              </w:rPr>
              <w:t>医疗机构的概念与分类；医疗机构的职业。</w:t>
            </w:r>
          </w:p>
        </w:tc>
        <w:tc>
          <w:tcPr>
            <w:tcW w:w="438" w:type="dxa"/>
            <w:vAlign w:val="center"/>
          </w:tcPr>
          <w:p>
            <w:pPr>
              <w:jc w:val="left"/>
              <w:rPr>
                <w:rFonts w:ascii="宋体" w:hAnsi="宋体"/>
                <w:sz w:val="20"/>
                <w:szCs w:val="20"/>
              </w:rPr>
            </w:pPr>
            <w:r>
              <w:rPr>
                <w:rFonts w:hint="eastAsia" w:ascii="宋体" w:hAnsi="宋体"/>
                <w:sz w:val="20"/>
                <w:szCs w:val="20"/>
              </w:rPr>
              <w:t>1</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3</w:t>
            </w:r>
          </w:p>
        </w:tc>
        <w:tc>
          <w:tcPr>
            <w:tcW w:w="683" w:type="dxa"/>
            <w:vAlign w:val="center"/>
          </w:tcPr>
          <w:p>
            <w:pPr>
              <w:snapToGrid w:val="0"/>
              <w:spacing w:line="280" w:lineRule="exact"/>
              <w:jc w:val="center"/>
              <w:rPr>
                <w:rFonts w:ascii="宋体" w:hAnsi="宋体"/>
                <w:bCs/>
                <w:sz w:val="20"/>
                <w:szCs w:val="20"/>
              </w:rPr>
            </w:pPr>
          </w:p>
          <w:p>
            <w:pPr>
              <w:snapToGrid w:val="0"/>
              <w:spacing w:line="280" w:lineRule="exact"/>
              <w:jc w:val="center"/>
              <w:rPr>
                <w:rFonts w:ascii="宋体" w:hAnsi="宋体"/>
                <w:bCs/>
                <w:sz w:val="20"/>
                <w:szCs w:val="20"/>
              </w:rPr>
            </w:pPr>
            <w:r>
              <w:rPr>
                <w:rFonts w:hint="eastAsia" w:ascii="宋体" w:hAnsi="宋体"/>
                <w:bCs/>
                <w:sz w:val="20"/>
                <w:szCs w:val="20"/>
              </w:rPr>
              <w:t>制定健康管理政策</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制定健康管理政策的5个具体步骤以及每一个步骤的具体内容。</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影响制定健康管理政策步骤的主要因素。</w:t>
            </w:r>
          </w:p>
        </w:tc>
        <w:tc>
          <w:tcPr>
            <w:tcW w:w="2047" w:type="dxa"/>
          </w:tcPr>
          <w:p>
            <w:pPr>
              <w:snapToGrid w:val="0"/>
              <w:spacing w:line="280" w:lineRule="exact"/>
              <w:rPr>
                <w:rFonts w:ascii="宋体" w:hAnsi="宋体"/>
                <w:b/>
                <w:sz w:val="20"/>
                <w:szCs w:val="20"/>
              </w:rPr>
            </w:pPr>
            <w:r>
              <w:rPr>
                <w:rFonts w:hint="eastAsia" w:ascii="宋体" w:hAnsi="宋体"/>
                <w:bCs/>
                <w:sz w:val="20"/>
                <w:szCs w:val="20"/>
              </w:rPr>
              <w:t>能运用5个具体步骤制定健康管理政策。</w:t>
            </w: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制定健康管理政策的5个具体步骤及影响制定健康管理政策步骤的主要因素。</w:t>
            </w:r>
          </w:p>
        </w:tc>
        <w:tc>
          <w:tcPr>
            <w:tcW w:w="438" w:type="dxa"/>
            <w:vAlign w:val="center"/>
          </w:tcPr>
          <w:p>
            <w:pPr>
              <w:jc w:val="left"/>
              <w:rPr>
                <w:rFonts w:ascii="宋体" w:hAnsi="宋体"/>
                <w:sz w:val="20"/>
                <w:szCs w:val="20"/>
              </w:rPr>
            </w:pPr>
            <w:r>
              <w:rPr>
                <w:rFonts w:hint="eastAsia" w:ascii="宋体" w:hAnsi="宋体"/>
                <w:sz w:val="20"/>
                <w:szCs w:val="20"/>
              </w:rPr>
              <w:t>2</w:t>
            </w:r>
          </w:p>
        </w:tc>
        <w:tc>
          <w:tcPr>
            <w:tcW w:w="438" w:type="dxa"/>
            <w:vAlign w:val="center"/>
          </w:tcPr>
          <w:p>
            <w:pPr>
              <w:jc w:val="left"/>
              <w:rPr>
                <w:rFonts w:ascii="Times New Roman" w:hAnsi="Times New Roman"/>
                <w:szCs w:val="21"/>
              </w:rPr>
            </w:pPr>
            <w:r>
              <w:rPr>
                <w:rFonts w:hint="eastAsia" w:ascii="Times New Roman" w:hAnsi="Times New Roman"/>
                <w:szCs w:val="21"/>
              </w:rPr>
              <w:t>1</w:t>
            </w:r>
          </w:p>
        </w:tc>
        <w:tc>
          <w:tcPr>
            <w:tcW w:w="438" w:type="dxa"/>
            <w:vAlign w:val="center"/>
          </w:tcPr>
          <w:p>
            <w:pPr>
              <w:jc w:val="left"/>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4</w:t>
            </w:r>
          </w:p>
        </w:tc>
        <w:tc>
          <w:tcPr>
            <w:tcW w:w="683" w:type="dxa"/>
            <w:vAlign w:val="center"/>
          </w:tcPr>
          <w:p>
            <w:pPr>
              <w:snapToGrid w:val="0"/>
              <w:spacing w:line="280" w:lineRule="exact"/>
              <w:jc w:val="left"/>
              <w:rPr>
                <w:rFonts w:ascii="宋体" w:hAnsi="宋体"/>
                <w:bCs/>
                <w:sz w:val="20"/>
                <w:szCs w:val="20"/>
              </w:rPr>
            </w:pPr>
            <w:r>
              <w:rPr>
                <w:rFonts w:hint="eastAsia" w:ascii="宋体" w:hAnsi="宋体"/>
                <w:bCs/>
                <w:sz w:val="20"/>
                <w:szCs w:val="20"/>
              </w:rPr>
              <w:t>健康管理政策的执行</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执行健康管理政策的定义；执行健康管理政策的各种方法；执行健康管理政策所需要的的各类资源；影响执行健康管理政策的主要因素。</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有效执行健康管理政策的评价标准。</w:t>
            </w:r>
            <w:r>
              <w:rPr>
                <w:rFonts w:ascii="宋体" w:hAnsi="宋体"/>
                <w:bCs/>
                <w:sz w:val="20"/>
                <w:szCs w:val="20"/>
              </w:rPr>
              <w:t xml:space="preserve"> </w:t>
            </w:r>
          </w:p>
        </w:tc>
        <w:tc>
          <w:tcPr>
            <w:tcW w:w="2047" w:type="dxa"/>
          </w:tcPr>
          <w:p>
            <w:pPr>
              <w:snapToGrid w:val="0"/>
              <w:spacing w:line="280" w:lineRule="exact"/>
              <w:rPr>
                <w:rFonts w:ascii="宋体" w:hAnsi="宋体"/>
                <w:b/>
                <w:sz w:val="20"/>
                <w:szCs w:val="20"/>
              </w:rPr>
            </w:pPr>
            <w:r>
              <w:rPr>
                <w:rFonts w:hint="eastAsia" w:ascii="宋体" w:hAnsi="宋体"/>
                <w:bCs/>
                <w:sz w:val="20"/>
                <w:szCs w:val="20"/>
              </w:rPr>
              <w:t>能掌握执行健康管理政策的各种方法。</w:t>
            </w:r>
          </w:p>
        </w:tc>
        <w:tc>
          <w:tcPr>
            <w:tcW w:w="1212" w:type="dxa"/>
          </w:tcPr>
          <w:p>
            <w:pPr>
              <w:spacing w:line="280" w:lineRule="exact"/>
              <w:ind w:right="-118" w:rightChars="-56"/>
              <w:jc w:val="left"/>
              <w:rPr>
                <w:rFonts w:ascii="宋体" w:hAnsi="宋体"/>
                <w:sz w:val="20"/>
                <w:szCs w:val="20"/>
              </w:rPr>
            </w:pPr>
            <w:r>
              <w:rPr>
                <w:rFonts w:hint="eastAsia" w:ascii="宋体" w:hAnsi="宋体"/>
                <w:bCs/>
                <w:sz w:val="20"/>
                <w:szCs w:val="20"/>
              </w:rPr>
              <w:t>执行健康管理政策的各种方法；影响执行健康管理政策的主要因素；有效执行健康管理政策的评价标准。</w:t>
            </w:r>
          </w:p>
        </w:tc>
        <w:tc>
          <w:tcPr>
            <w:tcW w:w="438" w:type="dxa"/>
            <w:vAlign w:val="center"/>
          </w:tcPr>
          <w:p>
            <w:pPr>
              <w:jc w:val="left"/>
              <w:rPr>
                <w:rFonts w:ascii="宋体" w:hAnsi="宋体"/>
                <w:sz w:val="20"/>
                <w:szCs w:val="20"/>
              </w:rPr>
            </w:pPr>
            <w:r>
              <w:rPr>
                <w:rFonts w:ascii="宋体" w:hAnsi="宋体"/>
                <w:sz w:val="20"/>
                <w:szCs w:val="20"/>
              </w:rPr>
              <w:t>2</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5</w:t>
            </w:r>
          </w:p>
        </w:tc>
        <w:tc>
          <w:tcPr>
            <w:tcW w:w="683" w:type="dxa"/>
            <w:vAlign w:val="center"/>
          </w:tcPr>
          <w:p>
            <w:pPr>
              <w:snapToGrid w:val="0"/>
              <w:spacing w:line="280" w:lineRule="exact"/>
              <w:jc w:val="left"/>
              <w:rPr>
                <w:rFonts w:ascii="宋体" w:hAnsi="宋体"/>
                <w:bCs/>
                <w:sz w:val="20"/>
                <w:szCs w:val="20"/>
              </w:rPr>
            </w:pPr>
            <w:r>
              <w:rPr>
                <w:rFonts w:hint="eastAsia" w:ascii="宋体" w:hAnsi="宋体"/>
                <w:bCs/>
                <w:sz w:val="20"/>
                <w:szCs w:val="20"/>
              </w:rPr>
              <w:t>健康管理政策的评估</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健康管理政策评估的定义；健康管理政策评估的方法与具体步骤；影响健康管理政策评估的主要因素。</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 xml:space="preserve">2.理解： </w:t>
            </w:r>
            <w:r>
              <w:rPr>
                <w:rFonts w:hint="eastAsia" w:ascii="宋体" w:hAnsi="宋体"/>
                <w:bCs/>
                <w:sz w:val="20"/>
                <w:szCs w:val="20"/>
              </w:rPr>
              <w:t>如何分析健康管理政策评估结果。</w:t>
            </w:r>
          </w:p>
        </w:tc>
        <w:tc>
          <w:tcPr>
            <w:tcW w:w="2047" w:type="dxa"/>
          </w:tcPr>
          <w:p>
            <w:pPr>
              <w:snapToGrid w:val="0"/>
              <w:spacing w:line="280" w:lineRule="exact"/>
              <w:rPr>
                <w:rFonts w:ascii="宋体" w:hAnsi="宋体"/>
                <w:b/>
                <w:sz w:val="20"/>
                <w:szCs w:val="20"/>
              </w:rPr>
            </w:pPr>
            <w:r>
              <w:rPr>
                <w:rFonts w:ascii="宋体" w:hAnsi="宋体"/>
                <w:bCs/>
                <w:sz w:val="20"/>
                <w:szCs w:val="20"/>
              </w:rPr>
              <w:t>能</w:t>
            </w:r>
            <w:r>
              <w:rPr>
                <w:rFonts w:hint="eastAsia" w:ascii="宋体" w:hAnsi="宋体"/>
                <w:bCs/>
                <w:sz w:val="20"/>
                <w:szCs w:val="20"/>
              </w:rPr>
              <w:t>运用具体步骤对健康管理政策进行评估。</w:t>
            </w: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健康管理政策评估的方法与具体步骤；影响健康管理政策评估的主要因素。</w:t>
            </w:r>
            <w:r>
              <w:rPr>
                <w:rFonts w:ascii="宋体" w:hAnsi="宋体"/>
                <w:bCs/>
                <w:sz w:val="20"/>
                <w:szCs w:val="20"/>
              </w:rPr>
              <w:t xml:space="preserve"> </w:t>
            </w:r>
          </w:p>
        </w:tc>
        <w:tc>
          <w:tcPr>
            <w:tcW w:w="438" w:type="dxa"/>
            <w:vAlign w:val="center"/>
          </w:tcPr>
          <w:p>
            <w:pPr>
              <w:jc w:val="left"/>
              <w:rPr>
                <w:rFonts w:ascii="宋体" w:hAnsi="宋体"/>
                <w:sz w:val="20"/>
                <w:szCs w:val="20"/>
              </w:rPr>
            </w:pPr>
            <w:r>
              <w:rPr>
                <w:rFonts w:hint="eastAsia" w:ascii="宋体" w:hAnsi="宋体"/>
                <w:sz w:val="20"/>
                <w:szCs w:val="20"/>
              </w:rPr>
              <w:t>2</w:t>
            </w:r>
          </w:p>
        </w:tc>
        <w:tc>
          <w:tcPr>
            <w:tcW w:w="438" w:type="dxa"/>
            <w:vAlign w:val="center"/>
          </w:tcPr>
          <w:p>
            <w:pPr>
              <w:jc w:val="left"/>
              <w:rPr>
                <w:rFonts w:ascii="Times New Roman" w:hAnsi="Times New Roman"/>
                <w:szCs w:val="21"/>
              </w:rPr>
            </w:pPr>
            <w:r>
              <w:rPr>
                <w:rFonts w:hint="eastAsia" w:ascii="Times New Roman" w:hAnsi="Times New Roman"/>
                <w:szCs w:val="21"/>
              </w:rPr>
              <w:t>1</w:t>
            </w:r>
          </w:p>
        </w:tc>
        <w:tc>
          <w:tcPr>
            <w:tcW w:w="438" w:type="dxa"/>
            <w:vAlign w:val="center"/>
          </w:tcPr>
          <w:p>
            <w:pPr>
              <w:jc w:val="left"/>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6</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医患法律关系</w:t>
            </w:r>
          </w:p>
          <w:p>
            <w:pPr>
              <w:snapToGrid w:val="0"/>
              <w:spacing w:line="280" w:lineRule="exact"/>
              <w:jc w:val="center"/>
              <w:rPr>
                <w:rFonts w:ascii="宋体" w:hAnsi="宋体"/>
                <w:bCs/>
                <w:sz w:val="20"/>
                <w:szCs w:val="20"/>
              </w:rPr>
            </w:pP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医患法律关系的概念及法律属性；医方治疗权；患者生命健康权与知情同意权；医方紧急救治义务；患者医疗自主权与隐私权。</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医者医学研究权与人格尊严权；医者保密义务。</w:t>
            </w:r>
            <w:r>
              <w:rPr>
                <w:rFonts w:ascii="宋体" w:hAnsi="宋体"/>
                <w:bCs/>
                <w:sz w:val="20"/>
                <w:szCs w:val="20"/>
              </w:rPr>
              <w:t xml:space="preserve"> </w:t>
            </w:r>
          </w:p>
        </w:tc>
        <w:tc>
          <w:tcPr>
            <w:tcW w:w="2047" w:type="dxa"/>
          </w:tcPr>
          <w:p>
            <w:pPr>
              <w:snapToGrid w:val="0"/>
              <w:spacing w:line="280" w:lineRule="exact"/>
              <w:rPr>
                <w:rFonts w:ascii="宋体" w:hAnsi="宋体"/>
                <w:b/>
                <w:sz w:val="20"/>
                <w:szCs w:val="20"/>
              </w:rPr>
            </w:pPr>
            <w:r>
              <w:rPr>
                <w:rFonts w:hint="eastAsia" w:ascii="宋体" w:hAnsi="宋体"/>
                <w:bCs/>
                <w:sz w:val="20"/>
                <w:szCs w:val="20"/>
              </w:rPr>
              <w:t>能掌握医者和患者各享有的权利；学会利用所学的知识分析涉及医患关系的案例。</w:t>
            </w:r>
          </w:p>
        </w:tc>
        <w:tc>
          <w:tcPr>
            <w:tcW w:w="1212" w:type="dxa"/>
          </w:tcPr>
          <w:p>
            <w:pPr>
              <w:spacing w:line="280" w:lineRule="exact"/>
              <w:ind w:right="-118" w:rightChars="-56"/>
              <w:jc w:val="left"/>
              <w:rPr>
                <w:rFonts w:ascii="宋体" w:hAnsi="宋体"/>
                <w:sz w:val="20"/>
                <w:szCs w:val="20"/>
              </w:rPr>
            </w:pPr>
            <w:r>
              <w:rPr>
                <w:rFonts w:hint="eastAsia" w:ascii="宋体" w:hAnsi="宋体"/>
                <w:bCs/>
                <w:sz w:val="20"/>
                <w:szCs w:val="20"/>
              </w:rPr>
              <w:t>医患法律关系的概念及法律属性；医方治疗权；患者生命健康权与知情同意权；患者医疗自主权与隐私权。</w:t>
            </w:r>
          </w:p>
        </w:tc>
        <w:tc>
          <w:tcPr>
            <w:tcW w:w="438" w:type="dxa"/>
            <w:vAlign w:val="center"/>
          </w:tcPr>
          <w:p>
            <w:pPr>
              <w:jc w:val="left"/>
              <w:rPr>
                <w:rFonts w:ascii="宋体" w:hAnsi="宋体"/>
                <w:sz w:val="20"/>
                <w:szCs w:val="20"/>
              </w:rPr>
            </w:pPr>
            <w:r>
              <w:rPr>
                <w:rFonts w:hint="eastAsia" w:ascii="宋体" w:hAnsi="宋体"/>
                <w:sz w:val="20"/>
                <w:szCs w:val="20"/>
              </w:rPr>
              <w:t>1</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7</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医疗行为</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医疗行为的概念和分类；实验性医疗行为的定义，含义；临床性医疗行为概念及法律规定。</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互联网医疗行为概念及存在的问题。</w:t>
            </w:r>
          </w:p>
        </w:tc>
        <w:tc>
          <w:tcPr>
            <w:tcW w:w="2047" w:type="dxa"/>
          </w:tcPr>
          <w:p>
            <w:pPr>
              <w:snapToGrid w:val="0"/>
              <w:spacing w:line="280" w:lineRule="exact"/>
              <w:rPr>
                <w:rFonts w:ascii="宋体" w:hAnsi="宋体"/>
                <w:bCs/>
                <w:sz w:val="20"/>
                <w:szCs w:val="20"/>
              </w:rPr>
            </w:pPr>
            <w:r>
              <w:rPr>
                <w:rFonts w:ascii="宋体" w:hAnsi="宋体"/>
                <w:bCs/>
                <w:sz w:val="20"/>
                <w:szCs w:val="20"/>
              </w:rPr>
              <w:t>学会运用</w:t>
            </w:r>
            <w:r>
              <w:rPr>
                <w:rFonts w:hint="eastAsia" w:ascii="宋体" w:hAnsi="宋体"/>
                <w:bCs/>
                <w:sz w:val="20"/>
                <w:szCs w:val="20"/>
              </w:rPr>
              <w:t>所学的知识对涉及相关医疗行为的法律案例进行分析。</w:t>
            </w:r>
          </w:p>
        </w:tc>
        <w:tc>
          <w:tcPr>
            <w:tcW w:w="1212" w:type="dxa"/>
          </w:tcPr>
          <w:p>
            <w:pPr>
              <w:snapToGrid w:val="0"/>
              <w:spacing w:line="280" w:lineRule="exact"/>
              <w:ind w:right="-118" w:rightChars="-56"/>
              <w:jc w:val="left"/>
              <w:rPr>
                <w:rFonts w:ascii="宋体" w:hAnsi="宋体"/>
                <w:sz w:val="20"/>
                <w:szCs w:val="20"/>
              </w:rPr>
            </w:pPr>
            <w:r>
              <w:rPr>
                <w:rFonts w:hint="eastAsia" w:ascii="宋体" w:hAnsi="宋体"/>
                <w:bCs/>
                <w:sz w:val="20"/>
                <w:szCs w:val="20"/>
              </w:rPr>
              <w:t>医疗行为的概念和分类；实验性医疗行为定义，含义；临床性医疗行为概念及法律规定。</w:t>
            </w:r>
          </w:p>
        </w:tc>
        <w:tc>
          <w:tcPr>
            <w:tcW w:w="438" w:type="dxa"/>
            <w:vAlign w:val="center"/>
          </w:tcPr>
          <w:p>
            <w:pPr>
              <w:jc w:val="left"/>
              <w:rPr>
                <w:rFonts w:ascii="宋体" w:hAnsi="宋体"/>
                <w:sz w:val="20"/>
                <w:szCs w:val="20"/>
              </w:rPr>
            </w:pPr>
            <w:r>
              <w:rPr>
                <w:rFonts w:hint="eastAsia" w:ascii="宋体" w:hAnsi="宋体"/>
                <w:sz w:val="20"/>
                <w:szCs w:val="20"/>
              </w:rPr>
              <w:t>1</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8</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药品管理法律制度</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药品管理法的概念和使用范围；药品生产经营管理规范；药品储备管理规范；药品管理与监督；生物制品及特殊药品管理的法律规定；医疗机构与药品监督管理部门的违法责任。</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我国的药品管理立法历史沿革；麻醉药品和精神药品管理立法。</w:t>
            </w:r>
            <w:r>
              <w:rPr>
                <w:rFonts w:ascii="宋体" w:hAnsi="宋体"/>
                <w:bCs/>
                <w:sz w:val="20"/>
                <w:szCs w:val="20"/>
              </w:rPr>
              <w:t xml:space="preserve"> </w:t>
            </w:r>
          </w:p>
        </w:tc>
        <w:tc>
          <w:tcPr>
            <w:tcW w:w="2047" w:type="dxa"/>
          </w:tcPr>
          <w:p>
            <w:pPr>
              <w:snapToGrid w:val="0"/>
              <w:spacing w:line="280" w:lineRule="exact"/>
              <w:rPr>
                <w:rFonts w:ascii="宋体" w:hAnsi="宋体"/>
                <w:bCs/>
                <w:sz w:val="20"/>
                <w:szCs w:val="20"/>
              </w:rPr>
            </w:pPr>
            <w:r>
              <w:rPr>
                <w:rFonts w:ascii="宋体" w:hAnsi="宋体"/>
                <w:bCs/>
                <w:sz w:val="20"/>
                <w:szCs w:val="20"/>
              </w:rPr>
              <w:t>学会运用</w:t>
            </w:r>
            <w:r>
              <w:rPr>
                <w:rFonts w:hint="eastAsia" w:ascii="宋体" w:hAnsi="宋体"/>
                <w:bCs/>
                <w:sz w:val="20"/>
                <w:szCs w:val="20"/>
              </w:rPr>
              <w:t>所学的知识可以对医疗机构及药品监督管理部门的违法责任进行辨别。</w:t>
            </w:r>
            <w:r>
              <w:rPr>
                <w:rFonts w:ascii="宋体" w:hAnsi="宋体"/>
                <w:bCs/>
                <w:sz w:val="20"/>
                <w:szCs w:val="20"/>
              </w:rPr>
              <w:t xml:space="preserve"> </w:t>
            </w:r>
          </w:p>
          <w:p>
            <w:pPr>
              <w:snapToGrid w:val="0"/>
              <w:spacing w:line="280" w:lineRule="exact"/>
              <w:rPr>
                <w:rFonts w:ascii="宋体" w:hAnsi="宋体"/>
                <w:bCs/>
                <w:sz w:val="20"/>
                <w:szCs w:val="20"/>
              </w:rPr>
            </w:pP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药品生产经营管理规范；药品管理与监督；生物制品及特殊药品管理的法律规定；医疗机构与药品监督管理部门的违法责任。</w:t>
            </w:r>
          </w:p>
        </w:tc>
        <w:tc>
          <w:tcPr>
            <w:tcW w:w="438" w:type="dxa"/>
            <w:vAlign w:val="center"/>
          </w:tcPr>
          <w:p>
            <w:pPr>
              <w:jc w:val="left"/>
              <w:rPr>
                <w:rFonts w:ascii="宋体" w:hAnsi="宋体"/>
                <w:sz w:val="20"/>
                <w:szCs w:val="20"/>
              </w:rPr>
            </w:pPr>
            <w:r>
              <w:rPr>
                <w:rFonts w:hint="eastAsia" w:ascii="宋体" w:hAnsi="宋体"/>
                <w:sz w:val="20"/>
                <w:szCs w:val="20"/>
              </w:rPr>
              <w:t>2</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9</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食品安全法律制度</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食品安全的相关概念；食品安全法的概念与适用范围；食品安全事故相关概念及其预防与处置；食品安全标准与食品检验食品安全风险评估的过程与组织。</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我国食品安全法制建设情况；食品安全监督管理；食品安全风险监测相关的概念。</w:t>
            </w:r>
            <w:r>
              <w:rPr>
                <w:rFonts w:ascii="宋体" w:hAnsi="宋体"/>
                <w:bCs/>
                <w:sz w:val="20"/>
                <w:szCs w:val="20"/>
              </w:rPr>
              <w:t xml:space="preserve"> </w:t>
            </w:r>
          </w:p>
        </w:tc>
        <w:tc>
          <w:tcPr>
            <w:tcW w:w="2047" w:type="dxa"/>
          </w:tcPr>
          <w:p>
            <w:pPr>
              <w:snapToGrid w:val="0"/>
              <w:spacing w:line="280" w:lineRule="exact"/>
              <w:rPr>
                <w:rFonts w:ascii="宋体" w:hAnsi="宋体"/>
                <w:b/>
                <w:sz w:val="20"/>
                <w:szCs w:val="20"/>
              </w:rPr>
            </w:pPr>
            <w:r>
              <w:rPr>
                <w:rFonts w:ascii="宋体" w:hAnsi="宋体"/>
                <w:bCs/>
                <w:sz w:val="20"/>
                <w:szCs w:val="20"/>
              </w:rPr>
              <w:t>学会</w:t>
            </w:r>
            <w:r>
              <w:rPr>
                <w:rFonts w:hint="eastAsia" w:ascii="宋体" w:hAnsi="宋体"/>
                <w:bCs/>
                <w:sz w:val="20"/>
                <w:szCs w:val="20"/>
              </w:rPr>
              <w:t>运用学到的知识如何处置食品安全事故。</w:t>
            </w:r>
          </w:p>
        </w:tc>
        <w:tc>
          <w:tcPr>
            <w:tcW w:w="1212" w:type="dxa"/>
          </w:tcPr>
          <w:p>
            <w:pPr>
              <w:spacing w:line="280" w:lineRule="exact"/>
              <w:ind w:right="-118" w:rightChars="-56"/>
              <w:jc w:val="left"/>
              <w:rPr>
                <w:rFonts w:ascii="宋体" w:hAnsi="宋体"/>
                <w:sz w:val="20"/>
                <w:szCs w:val="20"/>
              </w:rPr>
            </w:pPr>
            <w:r>
              <w:rPr>
                <w:rFonts w:hint="eastAsia" w:ascii="宋体" w:hAnsi="宋体"/>
                <w:bCs/>
                <w:sz w:val="20"/>
                <w:szCs w:val="20"/>
              </w:rPr>
              <w:t>食品安全法的概念与适用范围；食品安全事故相关概念及其预防与处置；食品安全标准与食品检验食品安全风险评估的过程与组织。</w:t>
            </w:r>
          </w:p>
        </w:tc>
        <w:tc>
          <w:tcPr>
            <w:tcW w:w="438" w:type="dxa"/>
            <w:vAlign w:val="center"/>
          </w:tcPr>
          <w:p>
            <w:pPr>
              <w:jc w:val="left"/>
              <w:rPr>
                <w:rFonts w:ascii="宋体" w:hAnsi="宋体"/>
                <w:sz w:val="20"/>
                <w:szCs w:val="20"/>
              </w:rPr>
            </w:pPr>
            <w:r>
              <w:rPr>
                <w:rFonts w:hint="eastAsia" w:ascii="宋体" w:hAnsi="宋体"/>
                <w:sz w:val="20"/>
                <w:szCs w:val="20"/>
              </w:rPr>
              <w:t>3</w:t>
            </w:r>
          </w:p>
        </w:tc>
        <w:tc>
          <w:tcPr>
            <w:tcW w:w="438" w:type="dxa"/>
            <w:vAlign w:val="center"/>
          </w:tcPr>
          <w:p>
            <w:pPr>
              <w:jc w:val="left"/>
              <w:rPr>
                <w:rFonts w:ascii="Times New Roman" w:hAnsi="Times New Roman"/>
                <w:szCs w:val="21"/>
              </w:rPr>
            </w:pPr>
            <w:r>
              <w:rPr>
                <w:rFonts w:hint="eastAsia" w:ascii="Times New Roman" w:hAnsi="Times New Roman"/>
                <w:szCs w:val="21"/>
              </w:rPr>
              <w:t>2</w:t>
            </w:r>
          </w:p>
        </w:tc>
        <w:tc>
          <w:tcPr>
            <w:tcW w:w="438" w:type="dxa"/>
            <w:vAlign w:val="center"/>
          </w:tcPr>
          <w:p>
            <w:pPr>
              <w:jc w:val="left"/>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10</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传染病防治法律制度</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传染病防治法的概念与分类管理制度；传染病疫情报告制度；传染病的控制制度；违反传染病防治法的法律责任；艾滋病预防与控制制度。</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结合病防治的管理制度。</w:t>
            </w:r>
            <w:r>
              <w:rPr>
                <w:rFonts w:ascii="宋体" w:hAnsi="宋体"/>
                <w:bCs/>
                <w:sz w:val="20"/>
                <w:szCs w:val="20"/>
              </w:rPr>
              <w:t xml:space="preserve"> </w:t>
            </w:r>
          </w:p>
        </w:tc>
        <w:tc>
          <w:tcPr>
            <w:tcW w:w="2047" w:type="dxa"/>
          </w:tcPr>
          <w:p>
            <w:pPr>
              <w:snapToGrid w:val="0"/>
              <w:spacing w:line="280" w:lineRule="exact"/>
              <w:rPr>
                <w:rFonts w:ascii="宋体" w:hAnsi="宋体"/>
                <w:b/>
                <w:sz w:val="20"/>
                <w:szCs w:val="20"/>
              </w:rPr>
            </w:pPr>
            <w:r>
              <w:rPr>
                <w:rFonts w:ascii="宋体" w:hAnsi="宋体"/>
                <w:bCs/>
                <w:sz w:val="20"/>
                <w:szCs w:val="20"/>
              </w:rPr>
              <w:t>学会运用</w:t>
            </w:r>
            <w:r>
              <w:rPr>
                <w:rFonts w:hint="eastAsia" w:ascii="宋体" w:hAnsi="宋体"/>
                <w:bCs/>
                <w:sz w:val="20"/>
                <w:szCs w:val="20"/>
              </w:rPr>
              <w:t>所学到的知识对相关传染病设计预防与控制方案。</w:t>
            </w: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传染病疫情报告制度；传染病的控制制度；违反传染病防治法的法律责任；艾滋病预防与控制制度。</w:t>
            </w:r>
            <w:r>
              <w:rPr>
                <w:rFonts w:ascii="宋体" w:hAnsi="宋体"/>
                <w:bCs/>
                <w:sz w:val="20"/>
                <w:szCs w:val="20"/>
              </w:rPr>
              <w:t xml:space="preserve"> </w:t>
            </w:r>
          </w:p>
        </w:tc>
        <w:tc>
          <w:tcPr>
            <w:tcW w:w="438" w:type="dxa"/>
            <w:vAlign w:val="center"/>
          </w:tcPr>
          <w:p>
            <w:pPr>
              <w:jc w:val="left"/>
              <w:rPr>
                <w:rFonts w:ascii="宋体" w:hAnsi="宋体"/>
                <w:sz w:val="20"/>
                <w:szCs w:val="20"/>
              </w:rPr>
            </w:pPr>
            <w:r>
              <w:rPr>
                <w:rFonts w:ascii="宋体" w:hAnsi="宋体"/>
                <w:sz w:val="20"/>
                <w:szCs w:val="20"/>
              </w:rPr>
              <w:t>4</w:t>
            </w:r>
          </w:p>
        </w:tc>
        <w:tc>
          <w:tcPr>
            <w:tcW w:w="438" w:type="dxa"/>
            <w:vAlign w:val="center"/>
          </w:tcPr>
          <w:p>
            <w:pPr>
              <w:jc w:val="left"/>
              <w:rPr>
                <w:rFonts w:ascii="Times New Roman" w:hAnsi="Times New Roman"/>
                <w:szCs w:val="21"/>
              </w:rPr>
            </w:pPr>
            <w:r>
              <w:rPr>
                <w:rFonts w:hint="eastAsia" w:ascii="Times New Roman" w:hAnsi="Times New Roman"/>
                <w:szCs w:val="21"/>
              </w:rPr>
              <w:t>2</w:t>
            </w:r>
          </w:p>
        </w:tc>
        <w:tc>
          <w:tcPr>
            <w:tcW w:w="438" w:type="dxa"/>
            <w:vAlign w:val="center"/>
          </w:tcPr>
          <w:p>
            <w:pPr>
              <w:jc w:val="left"/>
              <w:rPr>
                <w:rFonts w:ascii="Times New Roman" w:hAnsi="Times New Roman"/>
                <w:szCs w:val="21"/>
              </w:rPr>
            </w:pPr>
            <w:r>
              <w:rPr>
                <w:rFonts w:hint="eastAsia"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11</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职业病防治法律制度</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 xml:space="preserve"> 职业病的概念与分类；职业病的预防与保护制度；职业病的诊断制度；违反职业病防治法的法律责任。</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职业病危害的种类；职业病的鉴定制度；职业病防治监督的法律规定。</w:t>
            </w:r>
            <w:r>
              <w:rPr>
                <w:rFonts w:ascii="宋体" w:hAnsi="宋体"/>
                <w:bCs/>
                <w:sz w:val="20"/>
                <w:szCs w:val="20"/>
              </w:rPr>
              <w:t xml:space="preserve"> </w:t>
            </w:r>
          </w:p>
        </w:tc>
        <w:tc>
          <w:tcPr>
            <w:tcW w:w="2047" w:type="dxa"/>
          </w:tcPr>
          <w:p>
            <w:pPr>
              <w:snapToGrid w:val="0"/>
              <w:spacing w:line="280" w:lineRule="exact"/>
              <w:rPr>
                <w:rFonts w:ascii="宋体" w:hAnsi="宋体"/>
                <w:bCs/>
                <w:sz w:val="20"/>
                <w:szCs w:val="20"/>
              </w:rPr>
            </w:pPr>
            <w:r>
              <w:rPr>
                <w:rFonts w:hint="eastAsia" w:ascii="宋体" w:hAnsi="宋体"/>
                <w:sz w:val="20"/>
                <w:szCs w:val="20"/>
              </w:rPr>
              <w:t>掌握</w:t>
            </w:r>
            <w:r>
              <w:rPr>
                <w:rFonts w:hint="eastAsia" w:ascii="宋体" w:hAnsi="宋体"/>
                <w:bCs/>
                <w:sz w:val="20"/>
                <w:szCs w:val="20"/>
              </w:rPr>
              <w:t>职业病的预防与保护制度以及违反职业病防治法的法律责任。</w:t>
            </w:r>
          </w:p>
          <w:p>
            <w:pPr>
              <w:snapToGrid w:val="0"/>
              <w:spacing w:line="280" w:lineRule="exact"/>
              <w:rPr>
                <w:rFonts w:ascii="宋体" w:hAnsi="宋体"/>
                <w:b/>
                <w:sz w:val="20"/>
                <w:szCs w:val="20"/>
              </w:rPr>
            </w:pP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职业病的预防与保护制度；违反职业病防治法的法律责任。</w:t>
            </w:r>
          </w:p>
          <w:p>
            <w:pPr>
              <w:snapToGrid w:val="0"/>
              <w:spacing w:line="280" w:lineRule="exact"/>
              <w:ind w:right="-118" w:rightChars="-56"/>
              <w:jc w:val="left"/>
              <w:rPr>
                <w:rFonts w:ascii="宋体" w:hAnsi="宋体"/>
                <w:sz w:val="20"/>
                <w:szCs w:val="20"/>
              </w:rPr>
            </w:pPr>
          </w:p>
        </w:tc>
        <w:tc>
          <w:tcPr>
            <w:tcW w:w="438" w:type="dxa"/>
            <w:vAlign w:val="center"/>
          </w:tcPr>
          <w:p>
            <w:pPr>
              <w:jc w:val="left"/>
              <w:rPr>
                <w:rFonts w:ascii="宋体" w:hAnsi="宋体"/>
                <w:sz w:val="20"/>
                <w:szCs w:val="20"/>
              </w:rPr>
            </w:pPr>
            <w:r>
              <w:rPr>
                <w:rFonts w:hint="eastAsia" w:ascii="宋体" w:hAnsi="宋体"/>
                <w:sz w:val="20"/>
                <w:szCs w:val="20"/>
              </w:rPr>
              <w:t>4</w:t>
            </w:r>
          </w:p>
        </w:tc>
        <w:tc>
          <w:tcPr>
            <w:tcW w:w="438" w:type="dxa"/>
            <w:vAlign w:val="center"/>
          </w:tcPr>
          <w:p>
            <w:pPr>
              <w:jc w:val="left"/>
              <w:rPr>
                <w:rFonts w:ascii="Times New Roman" w:hAnsi="Times New Roman"/>
                <w:szCs w:val="21"/>
              </w:rPr>
            </w:pPr>
            <w:r>
              <w:rPr>
                <w:rFonts w:hint="eastAsia" w:ascii="Times New Roman" w:hAnsi="Times New Roman"/>
                <w:szCs w:val="21"/>
              </w:rPr>
              <w:t>2</w:t>
            </w:r>
          </w:p>
        </w:tc>
        <w:tc>
          <w:tcPr>
            <w:tcW w:w="438" w:type="dxa"/>
            <w:vAlign w:val="center"/>
          </w:tcPr>
          <w:p>
            <w:pPr>
              <w:jc w:val="left"/>
              <w:rPr>
                <w:rFonts w:ascii="Times New Roman" w:hAnsi="Times New Roman"/>
                <w:szCs w:val="21"/>
              </w:rPr>
            </w:pPr>
            <w:r>
              <w:rPr>
                <w:rFonts w:hint="eastAsia"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Align w:val="center"/>
          </w:tcPr>
          <w:p>
            <w:pPr>
              <w:snapToGrid w:val="0"/>
              <w:spacing w:line="288" w:lineRule="auto"/>
              <w:jc w:val="center"/>
              <w:rPr>
                <w:rFonts w:ascii="宋体" w:hAnsi="宋体"/>
                <w:bCs/>
                <w:sz w:val="20"/>
                <w:szCs w:val="20"/>
              </w:rPr>
            </w:pPr>
            <w:r>
              <w:rPr>
                <w:rFonts w:ascii="宋体" w:hAnsi="宋体"/>
                <w:bCs/>
                <w:sz w:val="20"/>
                <w:szCs w:val="20"/>
              </w:rPr>
              <w:t>12</w:t>
            </w:r>
          </w:p>
        </w:tc>
        <w:tc>
          <w:tcPr>
            <w:tcW w:w="683" w:type="dxa"/>
            <w:vAlign w:val="center"/>
          </w:tcPr>
          <w:p>
            <w:pPr>
              <w:snapToGrid w:val="0"/>
              <w:spacing w:line="280" w:lineRule="exact"/>
              <w:jc w:val="center"/>
              <w:rPr>
                <w:rFonts w:ascii="宋体" w:hAnsi="宋体"/>
                <w:bCs/>
                <w:sz w:val="20"/>
                <w:szCs w:val="20"/>
              </w:rPr>
            </w:pPr>
            <w:r>
              <w:rPr>
                <w:rFonts w:hint="eastAsia" w:ascii="宋体" w:hAnsi="宋体"/>
                <w:bCs/>
                <w:sz w:val="20"/>
                <w:szCs w:val="20"/>
              </w:rPr>
              <w:t>不同国家或地区健康管理政策比较</w:t>
            </w:r>
          </w:p>
        </w:tc>
        <w:tc>
          <w:tcPr>
            <w:tcW w:w="2196" w:type="dxa"/>
          </w:tcPr>
          <w:p>
            <w:pPr>
              <w:snapToGrid w:val="0"/>
              <w:spacing w:line="280" w:lineRule="exact"/>
              <w:rPr>
                <w:rFonts w:ascii="宋体" w:hAnsi="宋体"/>
                <w:bCs/>
                <w:sz w:val="20"/>
                <w:szCs w:val="20"/>
              </w:rPr>
            </w:pPr>
            <w:r>
              <w:rPr>
                <w:rFonts w:ascii="宋体" w:hAnsi="宋体"/>
                <w:bCs/>
                <w:sz w:val="20"/>
                <w:szCs w:val="20"/>
              </w:rPr>
              <w:t>1.识记：</w:t>
            </w:r>
            <w:r>
              <w:rPr>
                <w:rFonts w:hint="eastAsia" w:ascii="宋体" w:hAnsi="宋体"/>
                <w:bCs/>
                <w:sz w:val="20"/>
                <w:szCs w:val="20"/>
              </w:rPr>
              <w:t>美国，香港，台湾，日本和中国内地健康管理政策的区别。</w:t>
            </w:r>
            <w:r>
              <w:rPr>
                <w:rFonts w:ascii="宋体" w:hAnsi="宋体"/>
                <w:bCs/>
                <w:sz w:val="20"/>
                <w:szCs w:val="20"/>
              </w:rPr>
              <w:t xml:space="preserve"> </w:t>
            </w:r>
          </w:p>
          <w:p>
            <w:pPr>
              <w:snapToGrid w:val="0"/>
              <w:spacing w:line="280" w:lineRule="exact"/>
              <w:rPr>
                <w:rFonts w:ascii="宋体" w:hAnsi="宋体"/>
                <w:bCs/>
                <w:sz w:val="20"/>
                <w:szCs w:val="20"/>
              </w:rPr>
            </w:pPr>
            <w:r>
              <w:rPr>
                <w:rFonts w:ascii="宋体" w:hAnsi="宋体"/>
                <w:bCs/>
                <w:sz w:val="20"/>
                <w:szCs w:val="20"/>
              </w:rPr>
              <w:t>2.理解：</w:t>
            </w:r>
            <w:r>
              <w:rPr>
                <w:rFonts w:hint="eastAsia" w:ascii="宋体" w:hAnsi="宋体"/>
                <w:bCs/>
                <w:sz w:val="20"/>
                <w:szCs w:val="20"/>
              </w:rPr>
              <w:t>中国内地健康管理政策的主要特点。</w:t>
            </w:r>
          </w:p>
          <w:p>
            <w:pPr>
              <w:snapToGrid w:val="0"/>
              <w:spacing w:line="280" w:lineRule="exact"/>
              <w:rPr>
                <w:rFonts w:ascii="宋体" w:hAnsi="宋体"/>
                <w:bCs/>
                <w:sz w:val="20"/>
                <w:szCs w:val="20"/>
              </w:rPr>
            </w:pPr>
          </w:p>
        </w:tc>
        <w:tc>
          <w:tcPr>
            <w:tcW w:w="2047" w:type="dxa"/>
          </w:tcPr>
          <w:p>
            <w:pPr>
              <w:snapToGrid w:val="0"/>
              <w:spacing w:line="280" w:lineRule="exact"/>
              <w:rPr>
                <w:rFonts w:ascii="宋体" w:hAnsi="宋体"/>
                <w:b/>
                <w:sz w:val="20"/>
                <w:szCs w:val="20"/>
              </w:rPr>
            </w:pPr>
            <w:r>
              <w:rPr>
                <w:rFonts w:hint="eastAsia" w:ascii="宋体" w:hAnsi="宋体"/>
                <w:bCs/>
                <w:sz w:val="20"/>
                <w:szCs w:val="20"/>
              </w:rPr>
              <w:t>学会通过对比世界上几个主要代表国家及地区的主要健康管理政策，可以分析出不同国家及地区健康管理政策的主要区别。学会分析中国内地健康管理政策的特点。</w:t>
            </w:r>
          </w:p>
        </w:tc>
        <w:tc>
          <w:tcPr>
            <w:tcW w:w="1212" w:type="dxa"/>
          </w:tcPr>
          <w:p>
            <w:pPr>
              <w:snapToGrid w:val="0"/>
              <w:spacing w:line="280" w:lineRule="exact"/>
              <w:ind w:right="-118" w:rightChars="-56"/>
              <w:jc w:val="left"/>
              <w:rPr>
                <w:rFonts w:ascii="宋体" w:hAnsi="宋体"/>
                <w:bCs/>
                <w:sz w:val="20"/>
                <w:szCs w:val="20"/>
              </w:rPr>
            </w:pPr>
            <w:r>
              <w:rPr>
                <w:rFonts w:hint="eastAsia" w:ascii="宋体" w:hAnsi="宋体"/>
                <w:bCs/>
                <w:sz w:val="20"/>
                <w:szCs w:val="20"/>
              </w:rPr>
              <w:t>美国，香港，台湾，日本和中国内地健康管理政策的区别。</w:t>
            </w:r>
            <w:r>
              <w:rPr>
                <w:rFonts w:ascii="宋体" w:hAnsi="宋体"/>
                <w:bCs/>
                <w:sz w:val="20"/>
                <w:szCs w:val="20"/>
              </w:rPr>
              <w:t xml:space="preserve"> </w:t>
            </w:r>
          </w:p>
          <w:p>
            <w:pPr>
              <w:snapToGrid w:val="0"/>
              <w:spacing w:line="280" w:lineRule="exact"/>
              <w:ind w:right="-118" w:rightChars="-56"/>
              <w:jc w:val="left"/>
              <w:rPr>
                <w:rFonts w:ascii="宋体" w:hAnsi="宋体"/>
                <w:sz w:val="20"/>
                <w:szCs w:val="20"/>
              </w:rPr>
            </w:pPr>
          </w:p>
        </w:tc>
        <w:tc>
          <w:tcPr>
            <w:tcW w:w="438" w:type="dxa"/>
            <w:vAlign w:val="center"/>
          </w:tcPr>
          <w:p>
            <w:pPr>
              <w:jc w:val="left"/>
              <w:rPr>
                <w:rFonts w:ascii="宋体" w:hAnsi="宋体"/>
                <w:sz w:val="20"/>
                <w:szCs w:val="20"/>
              </w:rPr>
            </w:pPr>
            <w:r>
              <w:rPr>
                <w:rFonts w:hint="eastAsia" w:ascii="宋体" w:hAnsi="宋体"/>
                <w:sz w:val="20"/>
                <w:szCs w:val="20"/>
              </w:rPr>
              <w:t>1</w:t>
            </w:r>
          </w:p>
        </w:tc>
        <w:tc>
          <w:tcPr>
            <w:tcW w:w="438" w:type="dxa"/>
            <w:vAlign w:val="center"/>
          </w:tcPr>
          <w:p>
            <w:pPr>
              <w:jc w:val="left"/>
              <w:rPr>
                <w:rFonts w:ascii="Times New Roman" w:hAnsi="Times New Roman"/>
                <w:szCs w:val="21"/>
              </w:rPr>
            </w:pPr>
            <w:r>
              <w:rPr>
                <w:rFonts w:ascii="Times New Roman" w:hAnsi="Times New Roman"/>
                <w:szCs w:val="21"/>
              </w:rPr>
              <w:t>0</w:t>
            </w:r>
          </w:p>
        </w:tc>
        <w:tc>
          <w:tcPr>
            <w:tcW w:w="438" w:type="dxa"/>
            <w:vAlign w:val="center"/>
          </w:tcPr>
          <w:p>
            <w:pPr>
              <w:jc w:val="lef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96" w:type="dxa"/>
            <w:gridSpan w:val="5"/>
            <w:vAlign w:val="center"/>
          </w:tcPr>
          <w:p>
            <w:pPr>
              <w:snapToGrid w:val="0"/>
              <w:spacing w:line="240" w:lineRule="atLeast"/>
              <w:jc w:val="center"/>
              <w:rPr>
                <w:rFonts w:ascii="宋体" w:hAnsi="宋体"/>
                <w:bCs/>
                <w:sz w:val="20"/>
                <w:szCs w:val="20"/>
              </w:rPr>
            </w:pPr>
            <w:r>
              <w:rPr>
                <w:rFonts w:hint="eastAsia" w:ascii="宋体" w:hAnsi="宋体"/>
                <w:bCs/>
                <w:sz w:val="20"/>
                <w:szCs w:val="20"/>
              </w:rPr>
              <w:t>合计</w:t>
            </w:r>
          </w:p>
        </w:tc>
        <w:tc>
          <w:tcPr>
            <w:tcW w:w="438" w:type="dxa"/>
            <w:vAlign w:val="center"/>
          </w:tcPr>
          <w:p>
            <w:pPr>
              <w:jc w:val="center"/>
              <w:rPr>
                <w:rFonts w:ascii="宋体" w:hAnsi="宋体"/>
                <w:sz w:val="20"/>
                <w:szCs w:val="20"/>
              </w:rPr>
            </w:pPr>
            <w:r>
              <w:rPr>
                <w:rFonts w:hint="eastAsia" w:ascii="宋体" w:hAnsi="宋体"/>
                <w:sz w:val="20"/>
                <w:szCs w:val="20"/>
              </w:rPr>
              <w:t>24</w:t>
            </w:r>
          </w:p>
        </w:tc>
        <w:tc>
          <w:tcPr>
            <w:tcW w:w="438" w:type="dxa"/>
            <w:vAlign w:val="center"/>
          </w:tcPr>
          <w:p>
            <w:pPr>
              <w:jc w:val="center"/>
              <w:rPr>
                <w:rFonts w:ascii="宋体" w:hAnsi="宋体"/>
                <w:sz w:val="20"/>
                <w:szCs w:val="20"/>
              </w:rPr>
            </w:pPr>
            <w:r>
              <w:rPr>
                <w:rFonts w:hint="eastAsia" w:ascii="宋体" w:hAnsi="宋体"/>
                <w:sz w:val="20"/>
                <w:szCs w:val="20"/>
              </w:rPr>
              <w:t>8</w:t>
            </w:r>
          </w:p>
        </w:tc>
        <w:tc>
          <w:tcPr>
            <w:tcW w:w="438" w:type="dxa"/>
            <w:vAlign w:val="center"/>
          </w:tcPr>
          <w:p>
            <w:pPr>
              <w:jc w:val="center"/>
              <w:rPr>
                <w:rFonts w:ascii="宋体" w:hAnsi="宋体"/>
                <w:sz w:val="20"/>
                <w:szCs w:val="20"/>
              </w:rPr>
            </w:pPr>
            <w:r>
              <w:rPr>
                <w:rFonts w:hint="eastAsia" w:ascii="宋体" w:hAnsi="宋体"/>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623"/>
        <w:gridCol w:w="3239"/>
        <w:gridCol w:w="902"/>
        <w:gridCol w:w="105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实验名称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实验 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r>
              <w:rPr>
                <w:rFonts w:ascii="宋体" w:hAnsi="宋体" w:cstheme="minorEastAsia"/>
                <w:sz w:val="20"/>
                <w:szCs w:val="20"/>
              </w:rPr>
              <w:t>制定健康管理政策</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宋体" w:hAnsi="宋体" w:cstheme="minorEastAsia"/>
                <w:sz w:val="20"/>
                <w:szCs w:val="20"/>
              </w:rPr>
            </w:pPr>
            <w:r>
              <w:rPr>
                <w:rFonts w:ascii="宋体" w:hAnsi="宋体" w:cstheme="minorEastAsia"/>
                <w:sz w:val="20"/>
                <w:szCs w:val="20"/>
              </w:rPr>
              <w:t>运用</w:t>
            </w:r>
            <w:r>
              <w:rPr>
                <w:rFonts w:hint="eastAsia" w:ascii="宋体" w:hAnsi="宋体" w:cstheme="minorEastAsia"/>
                <w:sz w:val="20"/>
                <w:szCs w:val="20"/>
              </w:rPr>
              <w:t>5个具体步骤制定</w:t>
            </w:r>
            <w:r>
              <w:rPr>
                <w:rFonts w:ascii="宋体" w:hAnsi="宋体" w:cstheme="minorEastAsia"/>
                <w:sz w:val="20"/>
                <w:szCs w:val="20"/>
              </w:rPr>
              <w:t>健康管理政策以及掌握每个步骤的具体内容</w:t>
            </w:r>
            <w:r>
              <w:rPr>
                <w:rFonts w:hint="eastAsia" w:ascii="宋体" w:hAnsi="宋体" w:cstheme="minorEastAsia"/>
                <w:sz w:val="20"/>
                <w:szCs w:val="20"/>
              </w:rPr>
              <w:t>。</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1</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r>
              <w:rPr>
                <w:rFonts w:ascii="宋体" w:hAnsi="宋体" w:cstheme="minorEastAsia"/>
                <w:sz w:val="20"/>
                <w:szCs w:val="20"/>
              </w:rPr>
              <w:t>健康管理政策的评估</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宋体" w:hAnsi="宋体" w:cstheme="minorEastAsia"/>
                <w:sz w:val="20"/>
                <w:szCs w:val="20"/>
              </w:rPr>
            </w:pPr>
            <w:r>
              <w:rPr>
                <w:rFonts w:hint="eastAsia" w:ascii="宋体" w:hAnsi="宋体"/>
                <w:sz w:val="20"/>
                <w:szCs w:val="20"/>
              </w:rPr>
              <w:t>运用具体步骤对健康管理政策进行评估。</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1</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r>
              <w:rPr>
                <w:rFonts w:ascii="宋体" w:hAnsi="宋体" w:cstheme="minorEastAsia"/>
                <w:sz w:val="20"/>
                <w:szCs w:val="20"/>
              </w:rPr>
              <w:t>食品安全事故预防与处置</w:t>
            </w:r>
            <w:r>
              <w:rPr>
                <w:rFonts w:hint="eastAsia" w:ascii="宋体" w:hAnsi="宋体" w:cstheme="minorEastAsia"/>
                <w:sz w:val="20"/>
                <w:szCs w:val="20"/>
              </w:rPr>
              <w:t>，</w:t>
            </w:r>
            <w:r>
              <w:rPr>
                <w:rFonts w:ascii="宋体" w:hAnsi="宋体" w:cstheme="minorEastAsia"/>
                <w:sz w:val="20"/>
                <w:szCs w:val="20"/>
              </w:rPr>
              <w:t>食品安全法律制度</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宋体" w:hAnsi="宋体" w:cstheme="minorEastAsia"/>
                <w:sz w:val="20"/>
                <w:szCs w:val="20"/>
              </w:rPr>
            </w:pPr>
            <w:r>
              <w:rPr>
                <w:rFonts w:hint="eastAsia" w:ascii="宋体" w:hAnsi="宋体"/>
                <w:sz w:val="20"/>
                <w:szCs w:val="20"/>
              </w:rPr>
              <w:t>掌握如何预防与处置食品安全事故；运用食品安全法处理分析问题。</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2</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r>
              <w:rPr>
                <w:rFonts w:ascii="宋体" w:hAnsi="宋体" w:cstheme="minorEastAsia"/>
                <w:sz w:val="20"/>
                <w:szCs w:val="20"/>
              </w:rPr>
              <w:t>传染病的防治法律制度</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宋体" w:hAnsi="宋体" w:cstheme="minorEastAsia"/>
                <w:sz w:val="20"/>
                <w:szCs w:val="20"/>
              </w:rPr>
            </w:pPr>
            <w:r>
              <w:rPr>
                <w:rFonts w:ascii="宋体" w:hAnsi="宋体"/>
                <w:sz w:val="20"/>
                <w:szCs w:val="20"/>
              </w:rPr>
              <w:t>运用</w:t>
            </w:r>
            <w:r>
              <w:rPr>
                <w:rFonts w:hint="eastAsia" w:ascii="宋体" w:hAnsi="宋体"/>
                <w:sz w:val="20"/>
                <w:szCs w:val="20"/>
              </w:rPr>
              <w:t>所学知识对传染病设计预防与控制方案；掌握传染病防治法律。</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2</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小组讨论</w:t>
            </w: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r>
              <w:rPr>
                <w:rFonts w:ascii="宋体" w:hAnsi="宋体" w:cstheme="minorEastAsia"/>
                <w:sz w:val="20"/>
                <w:szCs w:val="20"/>
              </w:rPr>
              <w:t>职业病的防治法律制度</w:t>
            </w:r>
          </w:p>
        </w:tc>
        <w:tc>
          <w:tcPr>
            <w:tcW w:w="3239"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rPr>
                <w:rFonts w:ascii="宋体" w:hAnsi="宋体"/>
                <w:szCs w:val="21"/>
              </w:rPr>
            </w:pPr>
            <w:r>
              <w:rPr>
                <w:rFonts w:hint="eastAsia" w:ascii="宋体" w:hAnsi="宋体"/>
                <w:sz w:val="20"/>
                <w:szCs w:val="20"/>
              </w:rPr>
              <w:t>掌握职业病的预防与保护制度以及违反职业病防治法的法律责任.</w:t>
            </w:r>
          </w:p>
          <w:p>
            <w:pPr>
              <w:snapToGrid w:val="0"/>
              <w:spacing w:line="288" w:lineRule="auto"/>
              <w:jc w:val="left"/>
              <w:rPr>
                <w:rFonts w:ascii="宋体" w:hAnsi="宋体" w:cstheme="minorEastAsia"/>
                <w:sz w:val="20"/>
                <w:szCs w:val="20"/>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2</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theme="minorEastAsia"/>
                <w:sz w:val="20"/>
                <w:szCs w:val="20"/>
              </w:rPr>
            </w:pPr>
            <w:r>
              <w:rPr>
                <w:rFonts w:hint="eastAsia" w:ascii="宋体" w:hAnsi="宋体" w:cstheme="minorEastAsia"/>
                <w:sz w:val="20"/>
                <w:szCs w:val="20"/>
              </w:rPr>
              <w:t>小组讨论</w:t>
            </w: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宋体" w:hAnsi="宋体"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055"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145"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5"/>
        <w:tblpPr w:leftFromText="180" w:rightFromText="180" w:vertAnchor="text" w:horzAnchor="page" w:tblpX="1668" w:tblpY="3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szCs w:val="21"/>
              </w:rPr>
            </w:pPr>
            <w:r>
              <w:rPr>
                <w:rFonts w:hint="eastAsia" w:ascii="宋体" w:hAnsi="宋体"/>
                <w:bCs/>
                <w:szCs w:val="21"/>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期末开卷考试</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ascii="宋体" w:hAnsi="宋体"/>
                <w:bCs/>
                <w:szCs w:val="21"/>
              </w:rPr>
              <w:t>5</w:t>
            </w:r>
            <w:r>
              <w:rPr>
                <w:rFonts w:hint="eastAsia" w:ascii="宋体" w:hAnsi="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作业</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课堂出席率</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课堂表现与讨论</w:t>
            </w:r>
          </w:p>
        </w:tc>
        <w:tc>
          <w:tcPr>
            <w:tcW w:w="184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ascii="宋体" w:hAnsi="宋体"/>
                <w:bCs/>
                <w:szCs w:val="21"/>
              </w:rPr>
              <w:t>3</w:t>
            </w:r>
            <w:r>
              <w:rPr>
                <w:rFonts w:hint="eastAsia" w:ascii="宋体" w:hAnsi="宋体"/>
                <w:bCs/>
                <w:szCs w:val="21"/>
              </w:rPr>
              <w:t>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sz w:val="28"/>
          <w:szCs w:val="28"/>
        </w:rPr>
        <w:drawing>
          <wp:inline distT="0" distB="0" distL="114300" distR="114300">
            <wp:extent cx="545465" cy="276225"/>
            <wp:effectExtent l="0" t="0" r="6985" b="9525"/>
            <wp:docPr id="2" name="图片 2" descr="0316f9e8d5667562ca75e02f9a1e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16f9e8d5667562ca75e02f9a1efdc"/>
                    <pic:cNvPicPr>
                      <a:picLocks noChangeAspect="1"/>
                    </pic:cNvPicPr>
                  </pic:nvPicPr>
                  <pic:blipFill>
                    <a:blip r:embed="rId4"/>
                    <a:stretch>
                      <a:fillRect/>
                    </a:stretch>
                  </pic:blipFill>
                  <pic:spPr>
                    <a:xfrm>
                      <a:off x="0" y="0"/>
                      <a:ext cx="545465" cy="276225"/>
                    </a:xfrm>
                    <a:prstGeom prst="rect">
                      <a:avLst/>
                    </a:prstGeom>
                  </pic:spPr>
                </pic:pic>
              </a:graphicData>
            </a:graphic>
          </wp:inline>
        </w:drawing>
      </w:r>
      <w:r>
        <w:rPr>
          <w:rFonts w:hint="eastAsia"/>
          <w:sz w:val="28"/>
          <w:szCs w:val="28"/>
        </w:rPr>
        <w:t xml:space="preserve">         系主任审核签名：</w:t>
      </w:r>
      <w:bookmarkStart w:id="2" w:name="_GoBack"/>
      <w:r>
        <w:rPr>
          <w:rFonts w:hint="eastAsia" w:eastAsia="宋体"/>
          <w:sz w:val="28"/>
          <w:szCs w:val="28"/>
          <w:lang w:eastAsia="zh-CN"/>
        </w:rPr>
        <w:drawing>
          <wp:inline distT="0" distB="0" distL="114300" distR="114300">
            <wp:extent cx="865505" cy="342265"/>
            <wp:effectExtent l="0" t="0" r="10795" b="635"/>
            <wp:docPr id="3" name="图片 3"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ecbe870e15b71da4793d3858ca49"/>
                    <pic:cNvPicPr>
                      <a:picLocks noChangeAspect="1"/>
                    </pic:cNvPicPr>
                  </pic:nvPicPr>
                  <pic:blipFill>
                    <a:blip r:embed="rId5"/>
                    <a:stretch>
                      <a:fillRect/>
                    </a:stretch>
                  </pic:blipFill>
                  <pic:spPr>
                    <a:xfrm>
                      <a:off x="0" y="0"/>
                      <a:ext cx="865505" cy="342265"/>
                    </a:xfrm>
                    <a:prstGeom prst="rect">
                      <a:avLst/>
                    </a:prstGeom>
                  </pic:spPr>
                </pic:pic>
              </a:graphicData>
            </a:graphic>
          </wp:inline>
        </w:drawing>
      </w:r>
      <w:bookmarkEnd w:id="2"/>
    </w:p>
    <w:p>
      <w:pPr>
        <w:snapToGrid w:val="0"/>
        <w:spacing w:line="288" w:lineRule="auto"/>
        <w:ind w:firstLine="840" w:firstLineChars="300"/>
        <w:rPr>
          <w:sz w:val="28"/>
          <w:szCs w:val="28"/>
        </w:rPr>
      </w:pPr>
      <w:r>
        <w:rPr>
          <w:rFonts w:hint="eastAsia"/>
          <w:sz w:val="28"/>
          <w:szCs w:val="28"/>
        </w:rPr>
        <w:t>审核时间：2020-年10月10日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69AC"/>
    <w:rsid w:val="000152B0"/>
    <w:rsid w:val="000246A6"/>
    <w:rsid w:val="00047E51"/>
    <w:rsid w:val="00056380"/>
    <w:rsid w:val="000625F7"/>
    <w:rsid w:val="00070B08"/>
    <w:rsid w:val="00071D1E"/>
    <w:rsid w:val="00074B8C"/>
    <w:rsid w:val="00080E20"/>
    <w:rsid w:val="00090EAD"/>
    <w:rsid w:val="000A5B5D"/>
    <w:rsid w:val="000E091A"/>
    <w:rsid w:val="000E2065"/>
    <w:rsid w:val="000F52C8"/>
    <w:rsid w:val="0010397C"/>
    <w:rsid w:val="00103A9F"/>
    <w:rsid w:val="00104724"/>
    <w:rsid w:val="001072BC"/>
    <w:rsid w:val="00120F48"/>
    <w:rsid w:val="00122D57"/>
    <w:rsid w:val="001252CE"/>
    <w:rsid w:val="001275CF"/>
    <w:rsid w:val="00135FFF"/>
    <w:rsid w:val="00150C22"/>
    <w:rsid w:val="00152B9A"/>
    <w:rsid w:val="00155F11"/>
    <w:rsid w:val="0016590F"/>
    <w:rsid w:val="00185A99"/>
    <w:rsid w:val="001A15D8"/>
    <w:rsid w:val="001C11DA"/>
    <w:rsid w:val="001C616C"/>
    <w:rsid w:val="001C6CD4"/>
    <w:rsid w:val="001D4D09"/>
    <w:rsid w:val="001D5648"/>
    <w:rsid w:val="001E0806"/>
    <w:rsid w:val="001E5C58"/>
    <w:rsid w:val="001E657B"/>
    <w:rsid w:val="001F1E95"/>
    <w:rsid w:val="001F3967"/>
    <w:rsid w:val="0020096C"/>
    <w:rsid w:val="00202AC4"/>
    <w:rsid w:val="002132B2"/>
    <w:rsid w:val="00220E51"/>
    <w:rsid w:val="0022580B"/>
    <w:rsid w:val="00227A3A"/>
    <w:rsid w:val="00230E8C"/>
    <w:rsid w:val="00237673"/>
    <w:rsid w:val="00244C2C"/>
    <w:rsid w:val="00256B39"/>
    <w:rsid w:val="0026033C"/>
    <w:rsid w:val="0029058D"/>
    <w:rsid w:val="002A0521"/>
    <w:rsid w:val="002C602F"/>
    <w:rsid w:val="002D1FEC"/>
    <w:rsid w:val="002D2ED4"/>
    <w:rsid w:val="002D4686"/>
    <w:rsid w:val="002D6F76"/>
    <w:rsid w:val="002E3721"/>
    <w:rsid w:val="002F09A1"/>
    <w:rsid w:val="002F651F"/>
    <w:rsid w:val="002F702A"/>
    <w:rsid w:val="003074A0"/>
    <w:rsid w:val="00313BBA"/>
    <w:rsid w:val="003210BD"/>
    <w:rsid w:val="003256B9"/>
    <w:rsid w:val="0032602E"/>
    <w:rsid w:val="003367AE"/>
    <w:rsid w:val="00337282"/>
    <w:rsid w:val="003540B6"/>
    <w:rsid w:val="00356A63"/>
    <w:rsid w:val="00366247"/>
    <w:rsid w:val="00382FF2"/>
    <w:rsid w:val="00384426"/>
    <w:rsid w:val="00384DA2"/>
    <w:rsid w:val="003B04A5"/>
    <w:rsid w:val="003B1258"/>
    <w:rsid w:val="003B4FEE"/>
    <w:rsid w:val="003D6D77"/>
    <w:rsid w:val="003E1B0B"/>
    <w:rsid w:val="003E33B6"/>
    <w:rsid w:val="003E4440"/>
    <w:rsid w:val="003F2195"/>
    <w:rsid w:val="003F6323"/>
    <w:rsid w:val="004100B0"/>
    <w:rsid w:val="00426A18"/>
    <w:rsid w:val="00436C02"/>
    <w:rsid w:val="00437931"/>
    <w:rsid w:val="004559F3"/>
    <w:rsid w:val="00460FCF"/>
    <w:rsid w:val="00463EED"/>
    <w:rsid w:val="00480786"/>
    <w:rsid w:val="004D4EBE"/>
    <w:rsid w:val="004E3D60"/>
    <w:rsid w:val="004F360B"/>
    <w:rsid w:val="004F6845"/>
    <w:rsid w:val="00507F0A"/>
    <w:rsid w:val="00516F4E"/>
    <w:rsid w:val="0053652B"/>
    <w:rsid w:val="005467DC"/>
    <w:rsid w:val="00553D03"/>
    <w:rsid w:val="00556CE7"/>
    <w:rsid w:val="00571990"/>
    <w:rsid w:val="00584409"/>
    <w:rsid w:val="0059618B"/>
    <w:rsid w:val="005A0617"/>
    <w:rsid w:val="005A10CA"/>
    <w:rsid w:val="005A3456"/>
    <w:rsid w:val="005A4D96"/>
    <w:rsid w:val="005B2B6D"/>
    <w:rsid w:val="005B4B4E"/>
    <w:rsid w:val="005C696F"/>
    <w:rsid w:val="005D5E3A"/>
    <w:rsid w:val="005D65F2"/>
    <w:rsid w:val="005E0555"/>
    <w:rsid w:val="005F428F"/>
    <w:rsid w:val="005F509D"/>
    <w:rsid w:val="00610CD2"/>
    <w:rsid w:val="00612186"/>
    <w:rsid w:val="00616B49"/>
    <w:rsid w:val="00624FE1"/>
    <w:rsid w:val="00635A2D"/>
    <w:rsid w:val="0064100E"/>
    <w:rsid w:val="00673E24"/>
    <w:rsid w:val="006810D4"/>
    <w:rsid w:val="00683156"/>
    <w:rsid w:val="006970C9"/>
    <w:rsid w:val="006A0759"/>
    <w:rsid w:val="006A30C5"/>
    <w:rsid w:val="006B07F6"/>
    <w:rsid w:val="006B1862"/>
    <w:rsid w:val="006B7F74"/>
    <w:rsid w:val="006C6C08"/>
    <w:rsid w:val="006E34A3"/>
    <w:rsid w:val="006E3581"/>
    <w:rsid w:val="006F17E0"/>
    <w:rsid w:val="006F36CD"/>
    <w:rsid w:val="006F407C"/>
    <w:rsid w:val="006F6778"/>
    <w:rsid w:val="007208D6"/>
    <w:rsid w:val="00720C28"/>
    <w:rsid w:val="00740B6D"/>
    <w:rsid w:val="0077480C"/>
    <w:rsid w:val="0078495A"/>
    <w:rsid w:val="007A641F"/>
    <w:rsid w:val="007C1EEA"/>
    <w:rsid w:val="007C3E83"/>
    <w:rsid w:val="007C7A92"/>
    <w:rsid w:val="00803DC6"/>
    <w:rsid w:val="0080424B"/>
    <w:rsid w:val="00810BAB"/>
    <w:rsid w:val="008133F3"/>
    <w:rsid w:val="0082170B"/>
    <w:rsid w:val="00823A81"/>
    <w:rsid w:val="00825375"/>
    <w:rsid w:val="00840593"/>
    <w:rsid w:val="00845531"/>
    <w:rsid w:val="00852A07"/>
    <w:rsid w:val="00865383"/>
    <w:rsid w:val="008660A7"/>
    <w:rsid w:val="00866794"/>
    <w:rsid w:val="00867920"/>
    <w:rsid w:val="00875586"/>
    <w:rsid w:val="00892CCC"/>
    <w:rsid w:val="008B397C"/>
    <w:rsid w:val="008B47F4"/>
    <w:rsid w:val="008B48B3"/>
    <w:rsid w:val="008D62DA"/>
    <w:rsid w:val="008E74B7"/>
    <w:rsid w:val="008F3837"/>
    <w:rsid w:val="008F7519"/>
    <w:rsid w:val="00900019"/>
    <w:rsid w:val="00900CDD"/>
    <w:rsid w:val="009069F2"/>
    <w:rsid w:val="00931A63"/>
    <w:rsid w:val="0095148C"/>
    <w:rsid w:val="00952D13"/>
    <w:rsid w:val="00952EF9"/>
    <w:rsid w:val="00965EC9"/>
    <w:rsid w:val="0096714D"/>
    <w:rsid w:val="0099063E"/>
    <w:rsid w:val="009A52EC"/>
    <w:rsid w:val="009B07D3"/>
    <w:rsid w:val="009B6529"/>
    <w:rsid w:val="009D6E69"/>
    <w:rsid w:val="009E6C89"/>
    <w:rsid w:val="009F3A4B"/>
    <w:rsid w:val="009F611A"/>
    <w:rsid w:val="009F7D79"/>
    <w:rsid w:val="00A12A00"/>
    <w:rsid w:val="00A1778B"/>
    <w:rsid w:val="00A53895"/>
    <w:rsid w:val="00A559D8"/>
    <w:rsid w:val="00A56F76"/>
    <w:rsid w:val="00A677F7"/>
    <w:rsid w:val="00A769B1"/>
    <w:rsid w:val="00A837D5"/>
    <w:rsid w:val="00A966CA"/>
    <w:rsid w:val="00AA149D"/>
    <w:rsid w:val="00AA2766"/>
    <w:rsid w:val="00AA2FB0"/>
    <w:rsid w:val="00AB2412"/>
    <w:rsid w:val="00AC3D47"/>
    <w:rsid w:val="00AC4C45"/>
    <w:rsid w:val="00AD41C2"/>
    <w:rsid w:val="00AD49BF"/>
    <w:rsid w:val="00AE3A89"/>
    <w:rsid w:val="00B0178F"/>
    <w:rsid w:val="00B1043A"/>
    <w:rsid w:val="00B12446"/>
    <w:rsid w:val="00B12778"/>
    <w:rsid w:val="00B276EC"/>
    <w:rsid w:val="00B30D0F"/>
    <w:rsid w:val="00B46F21"/>
    <w:rsid w:val="00B4789C"/>
    <w:rsid w:val="00B47C0C"/>
    <w:rsid w:val="00B50388"/>
    <w:rsid w:val="00B511A5"/>
    <w:rsid w:val="00B54D85"/>
    <w:rsid w:val="00B61B36"/>
    <w:rsid w:val="00B649A1"/>
    <w:rsid w:val="00B715C7"/>
    <w:rsid w:val="00B722A7"/>
    <w:rsid w:val="00B72B3B"/>
    <w:rsid w:val="00B736A7"/>
    <w:rsid w:val="00B7651F"/>
    <w:rsid w:val="00B84DA4"/>
    <w:rsid w:val="00BA2D44"/>
    <w:rsid w:val="00BE58BF"/>
    <w:rsid w:val="00BF6C43"/>
    <w:rsid w:val="00BF7F10"/>
    <w:rsid w:val="00C007BF"/>
    <w:rsid w:val="00C1116F"/>
    <w:rsid w:val="00C405A5"/>
    <w:rsid w:val="00C47A95"/>
    <w:rsid w:val="00C52FC5"/>
    <w:rsid w:val="00C5302F"/>
    <w:rsid w:val="00C53048"/>
    <w:rsid w:val="00C56E09"/>
    <w:rsid w:val="00C672B5"/>
    <w:rsid w:val="00C7061A"/>
    <w:rsid w:val="00C87B62"/>
    <w:rsid w:val="00CA37C1"/>
    <w:rsid w:val="00CA4BCD"/>
    <w:rsid w:val="00CB47C8"/>
    <w:rsid w:val="00CD2FEC"/>
    <w:rsid w:val="00CE1A27"/>
    <w:rsid w:val="00CE3BB4"/>
    <w:rsid w:val="00CE69AB"/>
    <w:rsid w:val="00CF096B"/>
    <w:rsid w:val="00CF0FA9"/>
    <w:rsid w:val="00D1109E"/>
    <w:rsid w:val="00D24102"/>
    <w:rsid w:val="00D42287"/>
    <w:rsid w:val="00D62368"/>
    <w:rsid w:val="00D71DC9"/>
    <w:rsid w:val="00D85A07"/>
    <w:rsid w:val="00D929D1"/>
    <w:rsid w:val="00DB61F8"/>
    <w:rsid w:val="00DC146C"/>
    <w:rsid w:val="00DD5772"/>
    <w:rsid w:val="00DD6B9C"/>
    <w:rsid w:val="00DF15DF"/>
    <w:rsid w:val="00E16D30"/>
    <w:rsid w:val="00E2334C"/>
    <w:rsid w:val="00E27661"/>
    <w:rsid w:val="00E33169"/>
    <w:rsid w:val="00E339E7"/>
    <w:rsid w:val="00E45FFD"/>
    <w:rsid w:val="00E70904"/>
    <w:rsid w:val="00E74C05"/>
    <w:rsid w:val="00E83C68"/>
    <w:rsid w:val="00E87635"/>
    <w:rsid w:val="00E9085A"/>
    <w:rsid w:val="00E95222"/>
    <w:rsid w:val="00E95AC7"/>
    <w:rsid w:val="00E96A73"/>
    <w:rsid w:val="00EA0A8A"/>
    <w:rsid w:val="00EA1153"/>
    <w:rsid w:val="00ED18E6"/>
    <w:rsid w:val="00EE1BC8"/>
    <w:rsid w:val="00EF311A"/>
    <w:rsid w:val="00EF44B1"/>
    <w:rsid w:val="00F01B20"/>
    <w:rsid w:val="00F030A2"/>
    <w:rsid w:val="00F21427"/>
    <w:rsid w:val="00F31C8C"/>
    <w:rsid w:val="00F35AA0"/>
    <w:rsid w:val="00F52964"/>
    <w:rsid w:val="00F54283"/>
    <w:rsid w:val="00F600D2"/>
    <w:rsid w:val="00F621E0"/>
    <w:rsid w:val="00F74213"/>
    <w:rsid w:val="00FA044C"/>
    <w:rsid w:val="00FA128A"/>
    <w:rsid w:val="00FA28FA"/>
    <w:rsid w:val="00FB31D2"/>
    <w:rsid w:val="00FB32DB"/>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2E1A7A"/>
    <w:rsid w:val="0F67797F"/>
    <w:rsid w:val="0F8415E0"/>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980860"/>
    <w:rsid w:val="1DC76605"/>
    <w:rsid w:val="1DD748EF"/>
    <w:rsid w:val="1E0C484F"/>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3FDD6914"/>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678</Words>
  <Characters>3868</Characters>
  <Lines>32</Lines>
  <Paragraphs>9</Paragraphs>
  <TotalTime>1</TotalTime>
  <ScaleCrop>false</ScaleCrop>
  <LinksUpToDate>false</LinksUpToDate>
  <CharactersWithSpaces>4537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2021-02-27T14:42:00Z</dcterms:created>
  <dc:creator>juvg</dc:creator>
  <cp:lastModifiedBy>姚美芳</cp:lastModifiedBy>
  <dcterms:modified xsi:type="dcterms:W3CDTF">2021-03-10T03:26:05Z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