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rPr>
      </w:pPr>
      <w:r>
        <w:rPr>
          <w:rFonts w:hint="eastAsia" w:ascii="黑体" w:hAnsi="黑体" w:eastAsia="黑体"/>
          <w:bCs/>
          <w:sz w:val="32"/>
          <w:szCs w:val="32"/>
        </w:rPr>
        <w:t>《护理学基础</w:t>
      </w:r>
      <w:r>
        <w:rPr>
          <w:rFonts w:ascii="黑体" w:hAnsi="黑体" w:eastAsia="黑体"/>
          <w:bCs/>
          <w:sz w:val="32"/>
          <w:szCs w:val="32"/>
        </w:rPr>
        <w:t>1</w:t>
      </w:r>
      <w:r>
        <w:rPr>
          <w:rFonts w:hint="eastAsia" w:ascii="黑体" w:hAnsi="黑体" w:eastAsia="黑体"/>
          <w:bCs/>
          <w:sz w:val="32"/>
          <w:szCs w:val="32"/>
        </w:rPr>
        <w:t>》专科课程教学大纲</w:t>
      </w:r>
    </w:p>
    <w:p>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护理学基础1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Fundamentals of Nursing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r>
              <w:rPr>
                <w:rFonts w:asciiTheme="minorEastAsia" w:hAnsiTheme="minorEastAsia" w:eastAsiaTheme="minorEastAsia"/>
                <w:color w:val="000000" w:themeColor="text1"/>
                <w:sz w:val="21"/>
                <w:szCs w:val="21"/>
                <w14:textFill>
                  <w14:solidFill>
                    <w14:schemeClr w14:val="tx1"/>
                  </w14:solidFill>
                </w14:textFill>
              </w:rPr>
              <w:t>070012</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4</w:t>
            </w:r>
          </w:p>
        </w:tc>
        <w:tc>
          <w:tcPr>
            <w:tcW w:w="1272" w:type="dxa"/>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《基础护理学》，</w:t>
            </w:r>
            <w:r>
              <w:rPr>
                <w:rFonts w:asciiTheme="minorEastAsia" w:hAnsiTheme="minorEastAsia" w:eastAsiaTheme="minorEastAsia"/>
                <w:color w:val="000000" w:themeColor="text1"/>
                <w:sz w:val="21"/>
                <w:szCs w:val="21"/>
                <w14:textFill>
                  <w14:solidFill>
                    <w14:schemeClr w14:val="tx1"/>
                  </w14:solidFill>
                </w14:textFill>
              </w:rPr>
              <w:t>张连辉</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邓翠珍</w:t>
            </w:r>
            <w:r>
              <w:rPr>
                <w:rFonts w:hint="eastAsia" w:asciiTheme="minorEastAsia" w:hAnsiTheme="minorEastAsia" w:eastAsiaTheme="minorEastAsia"/>
                <w:color w:val="000000" w:themeColor="text1"/>
                <w:sz w:val="21"/>
                <w:szCs w:val="21"/>
                <w14:textFill>
                  <w14:solidFill>
                    <w14:schemeClr w14:val="tx1"/>
                  </w14:solidFill>
                </w14:textFill>
              </w:rPr>
              <w:t>主编</w:t>
            </w:r>
            <w:r>
              <w:rPr>
                <w:rFonts w:ascii="Times New Roman" w:hAnsi="Times New Roman"/>
                <w:color w:val="000000" w:themeColor="text1"/>
                <w:sz w:val="21"/>
                <w:szCs w:val="21"/>
                <w14:textFill>
                  <w14:solidFill>
                    <w14:schemeClr w14:val="tx1"/>
                  </w14:solidFill>
                </w14:textFill>
              </w:rPr>
              <w:t xml:space="preserve">ISBN </w:t>
            </w:r>
            <w:r>
              <w:rPr>
                <w:rFonts w:asciiTheme="minorEastAsia" w:hAnsiTheme="minorEastAsia" w:eastAsiaTheme="minorEastAsia"/>
                <w:color w:val="000000" w:themeColor="text1"/>
                <w:sz w:val="21"/>
                <w:szCs w:val="21"/>
                <w14:textFill>
                  <w14:solidFill>
                    <w14:schemeClr w14:val="tx1"/>
                  </w14:solidFill>
                </w14:textFill>
              </w:rPr>
              <w:t>9787117277846</w:t>
            </w:r>
            <w:r>
              <w:rPr>
                <w:rFonts w:hint="eastAsia" w:asciiTheme="minorEastAsia" w:hAnsiTheme="minorEastAsia" w:eastAsiaTheme="minorEastAsia"/>
                <w:color w:val="000000" w:themeColor="text1"/>
                <w:sz w:val="21"/>
                <w:szCs w:val="21"/>
                <w14:textFill>
                  <w14:solidFill>
                    <w14:schemeClr w14:val="tx1"/>
                  </w14:solidFill>
                </w14:textFill>
              </w:rPr>
              <w:t>，人民卫生出版社，第4版</w:t>
            </w:r>
          </w:p>
        </w:tc>
        <w:tc>
          <w:tcPr>
            <w:tcW w:w="1413"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5"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通过本课程的学习，学生能系统地掌握护理专业的基本知识、基本理论和基本技能，培养高尚的职业道德修养，为继续学习其他护理专业课程和促进专业发展奠定坚实的基础。本课程紧紧围绕高职高专护理类专业培养具有人道、博爱、奉献精神的良好职业道德、创新精神的高端技能型护理人才的目标，结合护理岗位和全国护士执业资格考试要求，力求做到科学性、先进性、启发性、创新性和适用性相结合，在内容上体现了“必需、够用”，从临床的需要出发，运用护理程序的工作方法，把“以人为中心”的现代护理理念及“医工融合”理念有机地贯穿于教学内容中，注重培养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pPr>
            <w:r>
              <w:rPr>
                <w:rFonts w:hint="eastAsia"/>
              </w:rPr>
              <w:t>本课程适用于护理专业，以正常人体学基础</w:t>
            </w:r>
            <w:r>
              <w:t>1（人体结构学）、正常人体学基础2（人体功能学）等医学基础课程和护理导论护理专业课程为基础，后续学习的课程有</w:t>
            </w:r>
            <w:r>
              <w:rPr>
                <w:rFonts w:hint="eastAsia"/>
              </w:rPr>
              <w:t>内、外、妇、儿</w:t>
            </w:r>
            <w:r>
              <w:t>等护理专科课程。因此，本课程是衔接护理类基础课程和专科课程的桥梁。本课程在专业培养计划中分割为</w:t>
            </w:r>
            <w:r>
              <w:rPr>
                <w:rFonts w:hint="eastAsia"/>
              </w:rPr>
              <w:t>两</w:t>
            </w:r>
            <w:r>
              <w:t>部分，分别是护理学基础1、护理学基础2。本部分是护理学基础1，安排在第一学期。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61670" cy="252095"/>
                  <wp:effectExtent l="0" t="0" r="5080" b="0"/>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 </w:t>
            </w:r>
            <w:r>
              <w:rPr>
                <w:position w:val="-12"/>
              </w:rPr>
              <w:drawing>
                <wp:inline distT="0" distB="0" distL="0" distR="0">
                  <wp:extent cx="606425" cy="273685"/>
                  <wp:effectExtent l="0" t="0" r="317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06425" cy="273685"/>
                          </a:xfrm>
                          <a:prstGeom prst="rect">
                            <a:avLst/>
                          </a:prstGeom>
                        </pic:spPr>
                      </pic:pic>
                    </a:graphicData>
                  </a:graphic>
                </wp:inline>
              </w:drawing>
            </w:r>
            <w:r>
              <w:rPr>
                <w:rFonts w:hint="eastAsia" w:ascii="黑体" w:hAnsi="黑体" w:eastAsia="黑体"/>
                <w:color w:val="000000" w:themeColor="text1"/>
                <w:sz w:val="21"/>
                <w:szCs w:val="21"/>
                <w14:textFill>
                  <w14:solidFill>
                    <w14:schemeClr w14:val="tx1"/>
                  </w14:solidFill>
                </w14:textFill>
              </w:rPr>
              <w:t xml:space="preserve"> </w:t>
            </w:r>
          </w:p>
        </w:tc>
        <w:tc>
          <w:tcPr>
            <w:tcW w:w="1425" w:type="dxa"/>
            <w:gridSpan w:val="2"/>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4.8</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hint="eastAsia" w:ascii="黑体" w:hAnsi="宋体"/>
        </w:rPr>
      </w:pPr>
      <w:bookmarkStart w:id="0" w:name="OLE_LINK1"/>
      <w:bookmarkStart w:id="1" w:name="OLE_LINK2"/>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eastAsia" w:ascii="宋体" w:hAnsi="宋体"/>
                <w:bCs/>
              </w:rPr>
            </w:pPr>
            <w:r>
              <w:rPr>
                <w:rFonts w:ascii="宋体" w:hAnsi="宋体"/>
                <w:bCs/>
              </w:rPr>
              <w:t>能阐述基础护理学的基本概念、基本知识</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eastAsia" w:ascii="宋体" w:hAnsi="宋体"/>
                <w:bCs/>
              </w:rPr>
            </w:pPr>
            <w:r>
              <w:rPr>
                <w:rFonts w:ascii="宋体" w:hAnsi="宋体"/>
                <w:bCs/>
              </w:rPr>
              <w:t>能规范熟练地进行各项基础护理技术操作，</w:t>
            </w:r>
            <w:r>
              <w:rPr>
                <w:rFonts w:hint="eastAsia" w:ascii="宋体" w:hAnsi="宋体"/>
                <w:bCs/>
              </w:rPr>
              <w:t>能够熟练使用各种医疗器械，</w:t>
            </w:r>
            <w:r>
              <w:rPr>
                <w:rFonts w:ascii="宋体" w:hAnsi="宋体"/>
                <w:bCs/>
              </w:rPr>
              <w:t>并能将知识技能综合</w:t>
            </w:r>
            <w:r>
              <w:rPr>
                <w:rFonts w:hint="eastAsia" w:ascii="宋体" w:hAnsi="宋体"/>
                <w:bCs/>
              </w:rPr>
              <w:t>应用于护理过程，对操作结果做出正确评价。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eastAsia" w:ascii="宋体" w:hAnsi="宋体"/>
                <w:bCs/>
              </w:rPr>
            </w:pPr>
            <w:r>
              <w:rPr>
                <w:rFonts w:hint="eastAsia" w:ascii="宋体" w:hAnsi="宋体"/>
                <w:bCs/>
              </w:rPr>
              <w:t>能运用科学的思维方法和创新能力，对护理对象实施个体化健康教育的能力，能独立思考、分析、解决护理问题。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pStyle w:val="14"/>
              <w:rPr>
                <w:rFonts w:hint="eastAsia" w:ascii="宋体" w:hAnsi="宋体"/>
              </w:rPr>
            </w:pPr>
            <w:r>
              <w:rPr>
                <w:rFonts w:hint="eastAsia" w:ascii="黑体" w:hAnsi="黑体" w:eastAsia="黑体"/>
                <w:bCs/>
                <w:szCs w:val="18"/>
              </w:rPr>
              <w:t>(含课程思政目标）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eastAsia" w:ascii="宋体" w:hAnsi="宋体"/>
                <w:bCs/>
              </w:rPr>
            </w:pPr>
            <w:r>
              <w:rPr>
                <w:rFonts w:hint="eastAsia" w:ascii="宋体" w:hAnsi="宋体"/>
                <w:bCs/>
              </w:rPr>
              <w:t>能认识到高尚的职业道德和职业情感是护理工作的核心，树立整体护理观念，将责任心、爱心、细心、耐心和同情心贯穿护理实践，养成科学严谨的工作作风和慎独修养；能够利用以课程学习为主的各种机会和组建学习小组发现和分析解决护理问题，形成团队协作精神。</w:t>
            </w:r>
          </w:p>
        </w:tc>
      </w:tr>
    </w:tbl>
    <w:p>
      <w:pPr>
        <w:pStyle w:val="16"/>
        <w:spacing w:before="326" w:beforeLines="100" w:line="360" w:lineRule="auto"/>
        <w:rPr>
          <w:rFonts w:hint="eastAsia" w:ascii="黑体" w:hAnsi="宋体"/>
        </w:rPr>
      </w:pPr>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252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226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2522" w:type="dxa"/>
            <w:vMerge w:val="continue"/>
            <w:tcBorders>
              <w:top w:val="single" w:color="auto" w:sz="4" w:space="0"/>
              <w:bottom w:val="single" w:color="auto" w:sz="4" w:space="0"/>
            </w:tcBorders>
            <w:shd w:val="clear" w:color="auto" w:fill="auto"/>
            <w:vAlign w:val="center"/>
          </w:tcPr>
          <w:p>
            <w:pPr>
              <w:pStyle w:val="13"/>
              <w:rPr>
                <w:szCs w:val="16"/>
              </w:rPr>
            </w:pPr>
          </w:p>
        </w:tc>
        <w:tc>
          <w:tcPr>
            <w:tcW w:w="226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hint="eastAsia"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2522" w:type="dxa"/>
            <w:tcBorders>
              <w:top w:val="single" w:color="auto" w:sz="4" w:space="0"/>
              <w:bottom w:val="single" w:color="auto" w:sz="4" w:space="0"/>
            </w:tcBorders>
            <w:shd w:val="clear" w:color="auto" w:fill="auto"/>
            <w:vAlign w:val="center"/>
          </w:tcPr>
          <w:p>
            <w:pPr>
              <w:pStyle w:val="14"/>
            </w:pPr>
            <w:r>
              <w:rPr>
                <w:rFonts w:hint="eastAsia"/>
              </w:rPr>
              <w:t>铺床法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2522" w:type="dxa"/>
            <w:tcBorders>
              <w:top w:val="single" w:color="auto" w:sz="4" w:space="0"/>
              <w:bottom w:val="single" w:color="auto" w:sz="4" w:space="0"/>
            </w:tcBorders>
            <w:shd w:val="clear" w:color="auto" w:fill="auto"/>
            <w:vAlign w:val="center"/>
          </w:tcPr>
          <w:p>
            <w:pPr>
              <w:pStyle w:val="14"/>
            </w:pPr>
            <w:r>
              <w:rPr>
                <w:rFonts w:hint="eastAsia"/>
              </w:rPr>
              <w:t>轮椅运送法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0</w:t>
            </w:r>
            <w:r>
              <w:rPr>
                <w:rFonts w:ascii="Arial" w:hAnsi="Arial" w:eastAsia="黑体"/>
                <w:bCs/>
                <w:szCs w:val="16"/>
              </w:rPr>
              <w:t>.5</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2</w:t>
            </w:r>
            <w:r>
              <w:rPr>
                <w:rFonts w:ascii="Arial" w:hAnsi="Arial" w:eastAsia="黑体"/>
                <w:bCs/>
                <w:szCs w:val="16"/>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2522" w:type="dxa"/>
            <w:tcBorders>
              <w:top w:val="single" w:color="auto" w:sz="4" w:space="0"/>
              <w:bottom w:val="single" w:color="auto" w:sz="4" w:space="0"/>
            </w:tcBorders>
            <w:shd w:val="clear" w:color="auto" w:fill="auto"/>
            <w:vAlign w:val="center"/>
          </w:tcPr>
          <w:p>
            <w:pPr>
              <w:pStyle w:val="14"/>
            </w:pPr>
            <w:r>
              <w:rPr>
                <w:rFonts w:hint="eastAsia"/>
              </w:rPr>
              <w:t>平车运送法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0</w:t>
            </w:r>
            <w:r>
              <w:rPr>
                <w:rFonts w:ascii="Arial" w:hAnsi="Arial" w:eastAsia="黑体"/>
                <w:bCs/>
                <w:szCs w:val="16"/>
              </w:rPr>
              <w:t>.5</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0</w:t>
            </w:r>
            <w:r>
              <w:rPr>
                <w:rFonts w:ascii="Arial" w:hAnsi="Arial" w:eastAsia="黑体"/>
                <w:bCs/>
                <w:szCs w:val="16"/>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4</w:t>
            </w:r>
          </w:p>
        </w:tc>
        <w:tc>
          <w:tcPr>
            <w:tcW w:w="2522" w:type="dxa"/>
            <w:tcBorders>
              <w:top w:val="single" w:color="auto" w:sz="4" w:space="0"/>
              <w:bottom w:val="single" w:color="auto" w:sz="4" w:space="0"/>
            </w:tcBorders>
            <w:shd w:val="clear" w:color="auto" w:fill="auto"/>
            <w:vAlign w:val="center"/>
          </w:tcPr>
          <w:p>
            <w:pPr>
              <w:pStyle w:val="14"/>
            </w:pPr>
            <w:r>
              <w:rPr>
                <w:rFonts w:hint="eastAsia"/>
              </w:rPr>
              <w:t>卧位摆放法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1</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5</w:t>
            </w:r>
          </w:p>
        </w:tc>
        <w:tc>
          <w:tcPr>
            <w:tcW w:w="2522" w:type="dxa"/>
            <w:tcBorders>
              <w:top w:val="single" w:color="auto" w:sz="4" w:space="0"/>
              <w:bottom w:val="single" w:color="auto" w:sz="4" w:space="0"/>
            </w:tcBorders>
            <w:shd w:val="clear" w:color="auto" w:fill="auto"/>
            <w:vAlign w:val="center"/>
          </w:tcPr>
          <w:p>
            <w:pPr>
              <w:pStyle w:val="14"/>
            </w:pPr>
            <w:r>
              <w:rPr>
                <w:rFonts w:hint="eastAsia"/>
              </w:rPr>
              <w:t>无菌技术</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6</w:t>
            </w:r>
          </w:p>
        </w:tc>
        <w:tc>
          <w:tcPr>
            <w:tcW w:w="2522" w:type="dxa"/>
            <w:tcBorders>
              <w:top w:val="single" w:color="auto" w:sz="4" w:space="0"/>
              <w:bottom w:val="single" w:color="auto" w:sz="4" w:space="0"/>
            </w:tcBorders>
            <w:shd w:val="clear" w:color="auto" w:fill="auto"/>
            <w:vAlign w:val="center"/>
          </w:tcPr>
          <w:p>
            <w:pPr>
              <w:pStyle w:val="14"/>
            </w:pPr>
            <w:r>
              <w:rPr>
                <w:rFonts w:hint="eastAsia"/>
              </w:rPr>
              <w:t>隔离技术</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7</w:t>
            </w:r>
          </w:p>
        </w:tc>
        <w:tc>
          <w:tcPr>
            <w:tcW w:w="2522" w:type="dxa"/>
            <w:tcBorders>
              <w:top w:val="single" w:color="auto" w:sz="4" w:space="0"/>
              <w:bottom w:val="single" w:color="auto" w:sz="4" w:space="0"/>
            </w:tcBorders>
            <w:shd w:val="clear" w:color="auto" w:fill="auto"/>
            <w:vAlign w:val="center"/>
          </w:tcPr>
          <w:p>
            <w:pPr>
              <w:pStyle w:val="14"/>
            </w:pPr>
            <w:r>
              <w:rPr>
                <w:rFonts w:hint="eastAsia"/>
              </w:rPr>
              <w:t>口腔护理</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8</w:t>
            </w:r>
          </w:p>
        </w:tc>
        <w:tc>
          <w:tcPr>
            <w:tcW w:w="2522" w:type="dxa"/>
            <w:tcBorders>
              <w:top w:val="single" w:color="auto" w:sz="4" w:space="0"/>
              <w:bottom w:val="single" w:color="auto" w:sz="4" w:space="0"/>
            </w:tcBorders>
            <w:shd w:val="clear" w:color="auto" w:fill="auto"/>
            <w:vAlign w:val="center"/>
          </w:tcPr>
          <w:p>
            <w:pPr>
              <w:pStyle w:val="14"/>
            </w:pPr>
            <w:r>
              <w:rPr>
                <w:rFonts w:hint="eastAsia"/>
              </w:rPr>
              <w:t>头发护理</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1</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9</w:t>
            </w:r>
          </w:p>
        </w:tc>
        <w:tc>
          <w:tcPr>
            <w:tcW w:w="2522" w:type="dxa"/>
            <w:tcBorders>
              <w:top w:val="single" w:color="auto" w:sz="4" w:space="0"/>
              <w:bottom w:val="single" w:color="auto" w:sz="4" w:space="0"/>
            </w:tcBorders>
            <w:shd w:val="clear" w:color="auto" w:fill="auto"/>
            <w:vAlign w:val="center"/>
          </w:tcPr>
          <w:p>
            <w:pPr>
              <w:pStyle w:val="14"/>
            </w:pPr>
            <w:r>
              <w:rPr>
                <w:rFonts w:hint="eastAsia"/>
              </w:rPr>
              <w:t>皮肤护理</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1</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r>
              <w:t>0</w:t>
            </w:r>
          </w:p>
        </w:tc>
        <w:tc>
          <w:tcPr>
            <w:tcW w:w="2522" w:type="dxa"/>
            <w:tcBorders>
              <w:top w:val="single" w:color="auto" w:sz="4" w:space="0"/>
              <w:bottom w:val="single" w:color="auto" w:sz="4" w:space="0"/>
            </w:tcBorders>
            <w:shd w:val="clear" w:color="auto" w:fill="auto"/>
            <w:vAlign w:val="center"/>
          </w:tcPr>
          <w:p>
            <w:pPr>
              <w:pStyle w:val="14"/>
            </w:pPr>
            <w:r>
              <w:rPr>
                <w:rFonts w:hint="eastAsia"/>
              </w:rPr>
              <w:t>卧床病人更换床单法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r>
              <w:t>1</w:t>
            </w:r>
          </w:p>
        </w:tc>
        <w:tc>
          <w:tcPr>
            <w:tcW w:w="2522" w:type="dxa"/>
            <w:tcBorders>
              <w:top w:val="single" w:color="auto" w:sz="4" w:space="0"/>
              <w:bottom w:val="single" w:color="auto" w:sz="4" w:space="0"/>
            </w:tcBorders>
            <w:shd w:val="clear" w:color="auto" w:fill="auto"/>
            <w:vAlign w:val="center"/>
          </w:tcPr>
          <w:p>
            <w:pPr>
              <w:pStyle w:val="14"/>
            </w:pPr>
            <w:r>
              <w:rPr>
                <w:rFonts w:hint="eastAsia"/>
              </w:rPr>
              <w:t>生命体征测量</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r>
              <w:t>2</w:t>
            </w:r>
          </w:p>
        </w:tc>
        <w:tc>
          <w:tcPr>
            <w:tcW w:w="2522" w:type="dxa"/>
            <w:tcBorders>
              <w:top w:val="single" w:color="auto" w:sz="4" w:space="0"/>
              <w:bottom w:val="single" w:color="auto" w:sz="4" w:space="0"/>
            </w:tcBorders>
            <w:shd w:val="clear" w:color="auto" w:fill="auto"/>
            <w:vAlign w:val="center"/>
          </w:tcPr>
          <w:p>
            <w:pPr>
              <w:pStyle w:val="14"/>
            </w:pPr>
            <w:r>
              <w:rPr>
                <w:rFonts w:hint="eastAsia"/>
              </w:rPr>
              <w:t>氧气吸入法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r>
              <w:t>3</w:t>
            </w:r>
          </w:p>
        </w:tc>
        <w:tc>
          <w:tcPr>
            <w:tcW w:w="2522" w:type="dxa"/>
            <w:tcBorders>
              <w:top w:val="single" w:color="auto" w:sz="4" w:space="0"/>
              <w:bottom w:val="single" w:color="auto" w:sz="4" w:space="0"/>
            </w:tcBorders>
            <w:shd w:val="clear" w:color="auto" w:fill="auto"/>
            <w:vAlign w:val="center"/>
          </w:tcPr>
          <w:p>
            <w:pPr>
              <w:pStyle w:val="14"/>
            </w:pPr>
            <w:r>
              <w:rPr>
                <w:rFonts w:hint="eastAsia"/>
              </w:rPr>
              <w:t>吸痰法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t>1</w:t>
            </w:r>
            <w:r>
              <w:rPr>
                <w:rFonts w:hint="eastAsia"/>
              </w:rPr>
              <w:t>4</w:t>
            </w:r>
          </w:p>
        </w:tc>
        <w:tc>
          <w:tcPr>
            <w:tcW w:w="2522" w:type="dxa"/>
            <w:tcBorders>
              <w:top w:val="single" w:color="auto" w:sz="4" w:space="0"/>
              <w:bottom w:val="single" w:color="auto" w:sz="4" w:space="0"/>
            </w:tcBorders>
            <w:shd w:val="clear" w:color="auto" w:fill="auto"/>
            <w:vAlign w:val="center"/>
          </w:tcPr>
          <w:p>
            <w:pPr>
              <w:pStyle w:val="14"/>
            </w:pPr>
            <w:r>
              <w:rPr>
                <w:rFonts w:hint="eastAsia"/>
              </w:rPr>
              <w:t>鼻饲法</w:t>
            </w:r>
          </w:p>
        </w:tc>
        <w:tc>
          <w:tcPr>
            <w:tcW w:w="2262" w:type="dxa"/>
            <w:tcBorders>
              <w:top w:val="single" w:color="auto" w:sz="4" w:space="0"/>
              <w:bottom w:val="single" w:color="auto" w:sz="4" w:space="0"/>
            </w:tcBorders>
            <w:vAlign w:val="center"/>
          </w:tcPr>
          <w:p>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rPr>
          <w:highlight w:val="yellow"/>
        </w:rPr>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rPr>
              <w:t>铺床法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知道铺备用床、暂空床和麻醉床的目的及方法；</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理解备用床、暂空床和麻醉床三种铺床法的异同点；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运用铺床法为新入院病人、暂时离床病人、术后病人准备床单位。</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按照护理程序正确、熟练地完成铺备用床、暂空床和麻醉床；</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操作过程中动作敏捷、轻巧、规范、有条不紊、符合节力原则。</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铺备用床操作评分标准；</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铺暂空床操作评分标准；</w:t>
            </w:r>
          </w:p>
          <w:p>
            <w:pPr>
              <w:widowControl w:val="0"/>
              <w:snapToGrid w:val="0"/>
              <w:jc w:val="left"/>
              <w:rPr>
                <w:rFonts w:ascii="Arial" w:hAnsi="Arial" w:eastAsia="黑体" w:cs="Arial"/>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铺麻醉床操作评分标准。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cs="仿宋"/>
                <w:bCs/>
                <w:szCs w:val="21"/>
              </w:rPr>
              <w:t>轮椅运送法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知道轮椅运送的目的、方法以及运送病人过程中应注意的问题；</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运用轮椅运送病人。</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按照护理程序正确、熟练地运用轮椅运送病人；</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轮椅运送技术操作评分标准。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实验3：</w:t>
            </w:r>
            <w:r>
              <w:rPr>
                <w:rFonts w:hint="eastAsia" w:cs="仿宋"/>
                <w:bCs/>
                <w:szCs w:val="21"/>
              </w:rPr>
              <w:t>平车运送法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知道平车运送的目的、方法以及运送病人过程中应注意的问题；</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运用平车运送病人。</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按照护理程序正确、熟练地运用平车运送病人；</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平车运送技术操作评分标准。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实验4：</w:t>
            </w:r>
            <w:r>
              <w:rPr>
                <w:rFonts w:hint="eastAsia" w:cs="仿宋"/>
                <w:bCs/>
                <w:szCs w:val="21"/>
              </w:rPr>
              <w:t>卧位摆放法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知道卧位摆放的目的、方法以及注意事项；</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分析病人病情采用不同运用卧位摆放法。</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能够采用不同的医疗器械按照护理程序正确、熟练地为病人实施卧位摆放方法；</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阐述不同病情采取的不同卧位以及采取卧位的原因。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实验5：</w:t>
            </w:r>
            <w:r>
              <w:rPr>
                <w:rFonts w:hint="eastAsia" w:cs="仿宋"/>
                <w:bCs/>
                <w:szCs w:val="21"/>
              </w:rPr>
              <w:t>无菌技术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知道无菌技术的概念、目的及原则；</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明确无菌技术操作流程；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运用无菌技术进行取放无菌物品，使用无菌容器、无菌包，倒取无菌溶液，戴脱无菌手套等。</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按照护理程序正确、熟练地使用各种器材完成无菌技术操作；</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能够遵循无菌技术原则，具有慎独精神，一丝不苟，严谨求实。</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无菌技术操作评分标准。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实验6：</w:t>
            </w:r>
            <w:r>
              <w:rPr>
                <w:rFonts w:hint="eastAsia" w:cs="仿宋"/>
                <w:bCs/>
                <w:szCs w:val="21"/>
              </w:rPr>
              <w:t>隔离技术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知道穿脱隔离衣目的、注意事项及隔离原则；</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明确穿脱隔离衣的操作流程；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运用隔离技术进行穿脱隔离衣。</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按照护理程序正确、熟练地完成穿脱隔离衣的操作；</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能够遵循隔离原则，具有慎独精神， 避免感染和交叉感染。</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穿脱隔离衣技术操作评分标准。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实验7：</w:t>
            </w:r>
            <w:r>
              <w:rPr>
                <w:rFonts w:hint="eastAsia" w:cs="仿宋"/>
                <w:bCs/>
                <w:szCs w:val="21"/>
              </w:rPr>
              <w:t>口腔护理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知道口腔护理的目的及适应证、不同口腔护理溶液的作用及适用范围；</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明确口腔护理技术的操作流程；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运用口腔护理技术为病人进行口腔护理并能及时处理口腔问题。</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按照护理程序正确、熟练地完成口腔护理操作；</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操作过程中表现出耐心、爱心、细心和责任心，运用良好的沟通技巧做好病人及家属的解释工作适当进行口腔卫生和口腔护理健康宣教，关怀爱护病人。</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口腔护理技术操作评分标准。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实验8：</w:t>
            </w:r>
            <w:r>
              <w:rPr>
                <w:rFonts w:hint="eastAsia" w:cs="仿宋"/>
                <w:bCs/>
                <w:szCs w:val="21"/>
              </w:rPr>
              <w:t>头发护理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知道床上洗发的目的及注意事项；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明确床上洗发技术的操作流程；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运用床上洗发技术为病人洗发。</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按照护理程序正确、熟练地完成卧床病人床上洗发；</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能够正确使用洗头机为病人洗发；</w:t>
            </w:r>
          </w:p>
          <w:p>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床上洗发技术操作评分标准。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实验9：</w:t>
            </w:r>
            <w:r>
              <w:rPr>
                <w:rFonts w:hint="eastAsia" w:cs="仿宋"/>
                <w:bCs/>
                <w:szCs w:val="21"/>
              </w:rPr>
              <w:t>皮肤护理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知道床上擦浴的目的及注意事项、评估病人皮肤的方法；</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明确床上擦浴技术的操作流程；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运用床上擦浴技术为病人实施床上擦浴。</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按照护理程序正确、熟练地完成卧床病人床上擦浴；</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操作过程中能够根据患者的病情、文化程度、心理状态做出合理的解释，顾及患者的隐私及感受，表现出良好的沟通技巧和对患者的关心、爱心。</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床上擦浴技术操作评分标准。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cs="仿宋"/>
                <w:bCs/>
                <w:color w:val="000000"/>
                <w:szCs w:val="21"/>
              </w:rPr>
              <w:t>0</w:t>
            </w:r>
            <w:r>
              <w:rPr>
                <w:rFonts w:hint="eastAsia" w:cs="仿宋"/>
                <w:bCs/>
                <w:color w:val="000000"/>
                <w:szCs w:val="21"/>
              </w:rPr>
              <w:t>：</w:t>
            </w:r>
            <w:r>
              <w:rPr>
                <w:rFonts w:hint="eastAsia" w:cs="仿宋"/>
                <w:bCs/>
                <w:szCs w:val="21"/>
              </w:rPr>
              <w:t>卧床病人更换床单法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知道卧床病人更换床单的目的及注意事项；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明确卧床病人更换床单的操作流程；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运用卧床病人更换床单技术为病人实施更换床单，保障病人的安全舒适。</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按照护理程序正确、熟练地完成卧床病人更换床单；</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操作过程中能够根据患者的病情、文化程度、心理状态做出合理的解释，顾及患者的隐私及感受，表现出良好的沟通技巧和对患者的关心、爱心。</w:t>
            </w:r>
          </w:p>
          <w:p>
            <w:pPr>
              <w:widowControl w:val="0"/>
              <w:snapToGrid w:val="0"/>
              <w:jc w:val="both"/>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卧床病人更换床单技术操作评分标准。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cs="仿宋"/>
                <w:bCs/>
                <w:color w:val="000000"/>
                <w:szCs w:val="21"/>
              </w:rPr>
              <w:t>1</w:t>
            </w:r>
            <w:r>
              <w:rPr>
                <w:rFonts w:hint="eastAsia" w:cs="仿宋"/>
                <w:bCs/>
                <w:color w:val="000000"/>
                <w:szCs w:val="21"/>
              </w:rPr>
              <w:t>：</w:t>
            </w:r>
            <w:r>
              <w:rPr>
                <w:rFonts w:hint="eastAsia" w:cs="仿宋"/>
                <w:bCs/>
                <w:szCs w:val="21"/>
              </w:rPr>
              <w:t>生命体征测量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知道体温、脉搏、呼吸、血压的正常值；</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明确体温、脉搏、呼吸、血压测量的操作流程。</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按照护理程序正确、熟练地完成体温、脉搏、呼吸、血压测量及记录工作；</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能够熟练使用体温计、血压计及听诊器等医疗器械；</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操作过程中能够根据病人的病情、文化程度、心理状态做出合理的解释，顾及病人的隐私及感受，表现出良好的沟通技巧和对病人的关心。</w:t>
            </w:r>
          </w:p>
          <w:p>
            <w:pPr>
              <w:widowControl w:val="0"/>
              <w:snapToGrid w:val="0"/>
              <w:jc w:val="both"/>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生命体征测量技术操作评分标准。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cs="仿宋"/>
                <w:bCs/>
                <w:color w:val="000000"/>
                <w:szCs w:val="21"/>
              </w:rPr>
              <w:t>2</w:t>
            </w:r>
            <w:r>
              <w:rPr>
                <w:rFonts w:hint="eastAsia" w:cs="仿宋"/>
                <w:bCs/>
                <w:color w:val="000000"/>
                <w:szCs w:val="21"/>
              </w:rPr>
              <w:t>：</w:t>
            </w:r>
            <w:r>
              <w:rPr>
                <w:rFonts w:hint="eastAsia" w:cs="仿宋"/>
                <w:bCs/>
                <w:szCs w:val="21"/>
              </w:rPr>
              <w:t>氧气吸入法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知道氧气吸入的目的和氧疗的副作用；</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明确氧气吸入的操作流程；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运用吸氧技术为病人给氧。</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按照护理程序正确、熟练地完成氧气吸入法；</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能够熟练使用中心供氧装置、氧气筒等医疗器械；</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操作过程中能够根据患者的病情、文化程度、心理状态做出合理的解释，顾及患者的隐私及感受，表现出良好的沟通技巧和对患者的关心、爱心。</w:t>
            </w:r>
          </w:p>
          <w:p>
            <w:pPr>
              <w:widowControl w:val="0"/>
              <w:snapToGrid w:val="0"/>
              <w:jc w:val="both"/>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氧气吸入技术操作评分标准。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cs="仿宋"/>
                <w:bCs/>
                <w:color w:val="000000"/>
                <w:szCs w:val="21"/>
              </w:rPr>
              <w:t>3</w:t>
            </w:r>
            <w:r>
              <w:rPr>
                <w:rFonts w:hint="eastAsia" w:cs="仿宋"/>
                <w:bCs/>
                <w:color w:val="000000"/>
                <w:szCs w:val="21"/>
              </w:rPr>
              <w:t>：</w:t>
            </w:r>
            <w:r>
              <w:rPr>
                <w:rFonts w:hint="eastAsia" w:cs="仿宋"/>
                <w:bCs/>
                <w:szCs w:val="21"/>
              </w:rPr>
              <w:t>吸痰法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知道吸痰的适应证和注意事项；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明确吸痰技术的操作流程；</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运用吸痰法为病人进行吸痰并能促进病人有效咳嗽。</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按照护理程序正确、熟练地完成吸痰，动作轻柔无损伤；</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能够熟练使用中心负压装置、电动吸引器等医疗器械；</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操作过程中能够根据患者的病情、文化程度、心理状态做出合理的解释，顾及患者的隐私及感受，表现出良好的沟通技巧和对患者的关心、爱心。</w:t>
            </w:r>
          </w:p>
          <w:p>
            <w:pPr>
              <w:widowControl w:val="0"/>
              <w:snapToGrid w:val="0"/>
              <w:jc w:val="both"/>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hint="eastAsia"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吸痰技术操作评分标准。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hint="eastAsia" w:cs="仿宋"/>
                <w:bCs/>
                <w:color w:val="000000"/>
                <w:szCs w:val="21"/>
              </w:rPr>
            </w:pPr>
            <w:r>
              <w:rPr>
                <w:rFonts w:hint="eastAsia" w:cs="仿宋"/>
                <w:bCs/>
                <w:color w:val="000000"/>
                <w:szCs w:val="21"/>
              </w:rPr>
              <w:t>实验1</w:t>
            </w:r>
            <w:r>
              <w:rPr>
                <w:rFonts w:cs="仿宋"/>
                <w:bCs/>
                <w:color w:val="000000"/>
                <w:szCs w:val="21"/>
              </w:rPr>
              <w:t>4</w:t>
            </w:r>
            <w:r>
              <w:rPr>
                <w:rFonts w:hint="eastAsia" w:cs="仿宋"/>
                <w:bCs/>
                <w:color w:val="000000"/>
                <w:szCs w:val="21"/>
              </w:rPr>
              <w:t>：</w:t>
            </w:r>
            <w:r>
              <w:rPr>
                <w:rFonts w:hint="eastAsia" w:cs="仿宋"/>
                <w:bCs/>
                <w:szCs w:val="21"/>
              </w:rPr>
              <w:t>鼻饲法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知道鼻饲技术的目的、适应证、禁忌证和注意事项；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明确吸痰技术的操作流程，并按要求给病人进行喂食鼻饲液；</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运用鼻饲技术为病人插管、喂食鼻饲液，并确认胃管在胃内。</w:t>
            </w:r>
          </w:p>
          <w:p>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按照护理程序正确、熟练地完成鼻饲，手法准确、轻柔；</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能够熟练鼻胃管等医疗器材；</w:t>
            </w:r>
          </w:p>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操作过程中动作轻柔，根据病人的病情、意识、心理状态、文化状态及合作程度做出合理的解释，使清醒的患者配合插管，减少病人痛苦。</w:t>
            </w:r>
          </w:p>
          <w:p>
            <w:pPr>
              <w:widowControl w:val="0"/>
              <w:snapToGrid w:val="0"/>
              <w:jc w:val="both"/>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ascii="Arial" w:hAnsi="Arial" w:eastAsia="黑体" w:cs="Arial"/>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鼻饲技术操作评分标准。</w:t>
            </w:r>
          </w:p>
        </w:tc>
      </w:tr>
    </w:tbl>
    <w:p>
      <w:pPr>
        <w:pStyle w:val="17"/>
        <w:spacing w:before="163" w:after="163"/>
      </w:pPr>
      <w:r>
        <w:rPr>
          <w:rFonts w:hint="eastAsia"/>
        </w:rPr>
        <w:t>（三）各实验项目对课程目标的支撑关系</w:t>
      </w:r>
    </w:p>
    <w:tbl>
      <w:tblPr>
        <w:tblStyle w:val="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99"/>
        <w:gridCol w:w="1451"/>
        <w:gridCol w:w="1452"/>
        <w:gridCol w:w="1451"/>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417" w:type="dxa"/>
            <w:tcBorders>
              <w:top w:val="single" w:color="auto" w:sz="12" w:space="0"/>
            </w:tcBorders>
            <w:vAlign w:val="center"/>
          </w:tcPr>
          <w:p>
            <w:pPr>
              <w:pStyle w:val="13"/>
              <w:rPr>
                <w:szCs w:val="16"/>
              </w:rPr>
            </w:pPr>
            <w:r>
              <w:rPr>
                <w:rFonts w:hint="eastAsia"/>
                <w:szCs w:val="16"/>
              </w:rPr>
              <w:t>1</w:t>
            </w:r>
          </w:p>
        </w:tc>
        <w:tc>
          <w:tcPr>
            <w:tcW w:w="1418" w:type="dxa"/>
            <w:tcBorders>
              <w:top w:val="single" w:color="auto" w:sz="12" w:space="0"/>
            </w:tcBorders>
            <w:vAlign w:val="center"/>
          </w:tcPr>
          <w:p>
            <w:pPr>
              <w:pStyle w:val="13"/>
              <w:rPr>
                <w:szCs w:val="16"/>
              </w:rPr>
            </w:pPr>
            <w:r>
              <w:rPr>
                <w:rFonts w:hint="eastAsia"/>
                <w:szCs w:val="16"/>
              </w:rPr>
              <w:t>2</w:t>
            </w:r>
          </w:p>
        </w:tc>
        <w:tc>
          <w:tcPr>
            <w:tcW w:w="1417" w:type="dxa"/>
            <w:tcBorders>
              <w:top w:val="single" w:color="auto" w:sz="12" w:space="0"/>
            </w:tcBorders>
            <w:vAlign w:val="center"/>
          </w:tcPr>
          <w:p>
            <w:pPr>
              <w:pStyle w:val="13"/>
              <w:rPr>
                <w:szCs w:val="16"/>
              </w:rPr>
            </w:pPr>
            <w:r>
              <w:rPr>
                <w:szCs w:val="16"/>
              </w:rPr>
              <w:t>3</w:t>
            </w:r>
          </w:p>
        </w:tc>
        <w:tc>
          <w:tcPr>
            <w:tcW w:w="1276" w:type="dxa"/>
            <w:tcBorders>
              <w:top w:val="single" w:color="auto" w:sz="12" w:space="0"/>
              <w:right w:val="single" w:color="auto" w:sz="12" w:space="0"/>
            </w:tcBorders>
            <w:vAlign w:val="center"/>
          </w:tcPr>
          <w:p>
            <w:pPr>
              <w:pStyle w:val="13"/>
              <w:rPr>
                <w:szCs w:val="16"/>
              </w:rPr>
            </w:pPr>
            <w:r>
              <w:rPr>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1.铺床法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p>
        </w:tc>
        <w:tc>
          <w:tcPr>
            <w:tcW w:w="1276"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2.轮椅运送法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3.平车运送法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4.卧位摆放法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p>
        </w:tc>
        <w:tc>
          <w:tcPr>
            <w:tcW w:w="1417" w:type="dxa"/>
            <w:vAlign w:val="center"/>
          </w:tcPr>
          <w:p>
            <w:pPr>
              <w:pStyle w:val="14"/>
            </w:pP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5.无菌技术</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6.隔离技术</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7.口腔护理</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8.头发护理</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9.皮肤护理</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10.卧床病人更换床单法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11.生命体征测量</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12.氧气吸入法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tcBorders>
            <w:vAlign w:val="center"/>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13.吸痰法</w:t>
            </w:r>
          </w:p>
        </w:tc>
        <w:tc>
          <w:tcPr>
            <w:tcW w:w="1417" w:type="dxa"/>
            <w:vAlign w:val="center"/>
          </w:tcPr>
          <w:p>
            <w:pPr>
              <w:pStyle w:val="14"/>
              <w:rPr>
                <w:rFonts w:ascii="Lucida Console" w:hAnsi="Lucida Console"/>
              </w:rPr>
            </w:pPr>
            <w:r>
              <w:rPr>
                <w:rFonts w:ascii="Lucida Console" w:hAnsi="Lucida Console"/>
              </w:rPr>
              <w:t>√</w:t>
            </w:r>
          </w:p>
        </w:tc>
        <w:tc>
          <w:tcPr>
            <w:tcW w:w="1418" w:type="dxa"/>
            <w:vAlign w:val="center"/>
          </w:tcPr>
          <w:p>
            <w:pPr>
              <w:pStyle w:val="14"/>
              <w:rPr>
                <w:rFonts w:ascii="Lucida Console" w:hAnsi="Lucida Console"/>
              </w:rPr>
            </w:pPr>
            <w:r>
              <w:rPr>
                <w:rFonts w:ascii="Lucida Console" w:hAnsi="Lucida Console"/>
              </w:rPr>
              <w:t>√</w:t>
            </w:r>
          </w:p>
        </w:tc>
        <w:tc>
          <w:tcPr>
            <w:tcW w:w="1417" w:type="dxa"/>
            <w:vAlign w:val="center"/>
          </w:tcPr>
          <w:p>
            <w:pPr>
              <w:pStyle w:val="14"/>
            </w:pPr>
            <w:r>
              <w:rPr>
                <w:rFonts w:ascii="Lucida Console" w:hAnsi="Lucida Console"/>
              </w:rPr>
              <w:t>√</w:t>
            </w:r>
          </w:p>
        </w:tc>
        <w:tc>
          <w:tcPr>
            <w:tcW w:w="1276"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38" w:type="dxa"/>
            <w:tcBorders>
              <w:left w:val="single" w:color="auto" w:sz="12" w:space="0"/>
              <w:bottom w:val="single" w:color="auto" w:sz="12" w:space="0"/>
            </w:tcBorders>
          </w:tcPr>
          <w:p>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14.鼻饲法</w:t>
            </w:r>
          </w:p>
        </w:tc>
        <w:tc>
          <w:tcPr>
            <w:tcW w:w="1417" w:type="dxa"/>
            <w:tcBorders>
              <w:bottom w:val="single" w:color="auto" w:sz="12" w:space="0"/>
            </w:tcBorders>
            <w:vAlign w:val="center"/>
          </w:tcPr>
          <w:p>
            <w:pPr>
              <w:pStyle w:val="14"/>
            </w:pPr>
            <w:r>
              <w:rPr>
                <w:rFonts w:ascii="Lucida Console" w:hAnsi="Lucida Console"/>
              </w:rPr>
              <w:t>√</w:t>
            </w:r>
          </w:p>
        </w:tc>
        <w:tc>
          <w:tcPr>
            <w:tcW w:w="1418" w:type="dxa"/>
            <w:tcBorders>
              <w:bottom w:val="single" w:color="auto" w:sz="12" w:space="0"/>
            </w:tcBorders>
            <w:vAlign w:val="center"/>
          </w:tcPr>
          <w:p>
            <w:pPr>
              <w:pStyle w:val="14"/>
            </w:pPr>
            <w:r>
              <w:rPr>
                <w:rFonts w:ascii="Lucida Console" w:hAnsi="Lucida Console"/>
              </w:rPr>
              <w:t>√</w:t>
            </w:r>
          </w:p>
        </w:tc>
        <w:tc>
          <w:tcPr>
            <w:tcW w:w="1417" w:type="dxa"/>
            <w:tcBorders>
              <w:bottom w:val="single" w:color="auto" w:sz="12" w:space="0"/>
            </w:tcBorders>
            <w:vAlign w:val="center"/>
          </w:tcPr>
          <w:p>
            <w:pPr>
              <w:pStyle w:val="14"/>
            </w:pPr>
            <w:r>
              <w:rPr>
                <w:rFonts w:ascii="Lucida Console" w:hAnsi="Lucida Console"/>
              </w:rPr>
              <w:t>√</w:t>
            </w:r>
          </w:p>
        </w:tc>
        <w:tc>
          <w:tcPr>
            <w:tcW w:w="1276" w:type="dxa"/>
            <w:tcBorders>
              <w:bottom w:val="single" w:color="auto" w:sz="12" w:space="0"/>
              <w:right w:val="single" w:color="auto" w:sz="12" w:space="0"/>
            </w:tcBorders>
            <w:vAlign w:val="center"/>
          </w:tcPr>
          <w:p>
            <w:pPr>
              <w:pStyle w:val="14"/>
            </w:pPr>
            <w:r>
              <w:rPr>
                <w:rFonts w:ascii="Lucida Console" w:hAnsi="Lucida Console"/>
              </w:rPr>
              <w:t>√</w:t>
            </w:r>
          </w:p>
        </w:tc>
      </w:tr>
    </w:tbl>
    <w:p>
      <w:pPr>
        <w:pStyle w:val="17"/>
        <w:spacing w:before="163" w:after="163"/>
      </w:pPr>
    </w:p>
    <w:bookmarkEnd w:id="0"/>
    <w:bookmarkEnd w:id="1"/>
    <w:p>
      <w:pPr>
        <w:pStyle w:val="16"/>
        <w:spacing w:before="326" w:beforeLines="100" w:line="360" w:lineRule="auto"/>
        <w:rPr>
          <w:rFonts w:hint="eastAsia"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p>
            <w:pPr>
              <w:pStyle w:val="14"/>
              <w:widowControl w:val="0"/>
              <w:rPr>
                <w:rFonts w:hint="eastAsia"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10"/>
              <w:gridCol w:w="291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pStyle w:val="14"/>
                    <w:widowControl w:val="0"/>
                    <w:rPr>
                      <w:rFonts w:hint="eastAsia" w:ascii="宋体" w:hAnsi="宋体"/>
                      <w:bCs/>
                    </w:rPr>
                  </w:pPr>
                  <w:r>
                    <w:rPr>
                      <w:rFonts w:hint="eastAsia" w:ascii="宋体" w:hAnsi="宋体"/>
                      <w:bCs/>
                    </w:rPr>
                    <w:t>序号</w:t>
                  </w:r>
                </w:p>
              </w:tc>
              <w:tc>
                <w:tcPr>
                  <w:tcW w:w="2410" w:type="dxa"/>
                </w:tcPr>
                <w:p>
                  <w:pPr>
                    <w:pStyle w:val="14"/>
                    <w:widowControl w:val="0"/>
                    <w:rPr>
                      <w:rFonts w:hint="eastAsia" w:ascii="宋体" w:hAnsi="宋体"/>
                      <w:bCs/>
                    </w:rPr>
                  </w:pPr>
                  <w:r>
                    <w:rPr>
                      <w:rFonts w:hint="eastAsia" w:ascii="宋体" w:hAnsi="宋体"/>
                      <w:bCs/>
                    </w:rPr>
                    <w:t>课程学习任务</w:t>
                  </w:r>
                </w:p>
              </w:tc>
              <w:tc>
                <w:tcPr>
                  <w:tcW w:w="2914" w:type="dxa"/>
                </w:tcPr>
                <w:p>
                  <w:pPr>
                    <w:pStyle w:val="14"/>
                    <w:widowControl w:val="0"/>
                    <w:rPr>
                      <w:rFonts w:hint="eastAsia" w:ascii="宋体" w:hAnsi="宋体"/>
                      <w:bCs/>
                    </w:rPr>
                  </w:pPr>
                  <w:r>
                    <w:rPr>
                      <w:rFonts w:hint="eastAsia" w:ascii="宋体" w:hAnsi="宋体"/>
                      <w:bCs/>
                    </w:rPr>
                    <w:t>思政元素</w:t>
                  </w:r>
                </w:p>
              </w:tc>
              <w:tc>
                <w:tcPr>
                  <w:tcW w:w="2024" w:type="dxa"/>
                </w:tcPr>
                <w:p>
                  <w:pPr>
                    <w:pStyle w:val="14"/>
                    <w:widowControl w:val="0"/>
                    <w:rPr>
                      <w:rFonts w:hint="eastAsia" w:ascii="宋体" w:hAnsi="宋体"/>
                      <w:bCs/>
                    </w:rPr>
                  </w:pPr>
                  <w:r>
                    <w:rPr>
                      <w:rFonts w:hint="eastAsia" w:ascii="宋体" w:hAnsi="宋体"/>
                      <w:bCs/>
                    </w:rPr>
                    <w:t>课程思政融入点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pPr>
                  <w:r>
                    <w:rPr>
                      <w:rFonts w:hint="eastAsia"/>
                    </w:rPr>
                    <w:t>1</w:t>
                  </w:r>
                </w:p>
              </w:tc>
              <w:tc>
                <w:tcPr>
                  <w:tcW w:w="2410" w:type="dxa"/>
                  <w:vAlign w:val="center"/>
                </w:tcPr>
                <w:p>
                  <w:pPr>
                    <w:pStyle w:val="14"/>
                    <w:widowControl w:val="0"/>
                    <w:jc w:val="both"/>
                    <w:rPr>
                      <w:rFonts w:hint="eastAsia" w:ascii="宋体" w:hAnsi="宋体"/>
                      <w:bCs/>
                    </w:rPr>
                  </w:pPr>
                  <w:r>
                    <w:rPr>
                      <w:rFonts w:hint="eastAsia" w:ascii="宋体" w:hAnsi="宋体"/>
                      <w:bCs/>
                    </w:rPr>
                    <w:t>医院和住院环境</w:t>
                  </w:r>
                </w:p>
              </w:tc>
              <w:tc>
                <w:tcPr>
                  <w:tcW w:w="2914" w:type="dxa"/>
                </w:tcPr>
                <w:p>
                  <w:pPr>
                    <w:pStyle w:val="14"/>
                    <w:widowControl w:val="0"/>
                    <w:jc w:val="both"/>
                    <w:rPr>
                      <w:rFonts w:hint="eastAsia" w:ascii="宋体" w:hAnsi="宋体"/>
                      <w:bCs/>
                    </w:rPr>
                  </w:pPr>
                  <w:r>
                    <w:rPr>
                      <w:rFonts w:hint="eastAsia" w:ascii="宋体" w:hAnsi="宋体"/>
                      <w:bCs/>
                    </w:rPr>
                    <w:t>具有严谨求实的工作态度，对病人关心体贴，确保病人安全。</w:t>
                  </w:r>
                </w:p>
              </w:tc>
              <w:tc>
                <w:tcPr>
                  <w:tcW w:w="2024" w:type="dxa"/>
                </w:tcPr>
                <w:p>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以S</w:t>
                  </w:r>
                  <w:r>
                    <w:rPr>
                      <w:rFonts w:cs="仿宋_GB2312" w:asciiTheme="minorEastAsia" w:hAnsiTheme="minorEastAsia" w:eastAsiaTheme="minorEastAsia"/>
                    </w:rPr>
                    <w:t>ARS</w:t>
                  </w:r>
                  <w:r>
                    <w:rPr>
                      <w:rFonts w:hint="eastAsia" w:cs="仿宋_GB2312" w:asciiTheme="minorEastAsia" w:hAnsiTheme="minorEastAsia" w:eastAsiaTheme="minorEastAsia"/>
                    </w:rPr>
                    <w:t>、新冠疫情等重大社会公共事件中涌现出的医疗战线先进模范实例融入思政元素。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pPr>
                  <w:r>
                    <w:rPr>
                      <w:rFonts w:hint="eastAsia"/>
                    </w:rPr>
                    <w:t>2</w:t>
                  </w:r>
                </w:p>
              </w:tc>
              <w:tc>
                <w:tcPr>
                  <w:tcW w:w="2410" w:type="dxa"/>
                  <w:vAlign w:val="center"/>
                </w:tcPr>
                <w:p>
                  <w:pPr>
                    <w:pStyle w:val="14"/>
                    <w:widowControl w:val="0"/>
                    <w:jc w:val="both"/>
                    <w:rPr>
                      <w:rFonts w:hint="eastAsia" w:ascii="宋体" w:hAnsi="宋体"/>
                      <w:bCs/>
                    </w:rPr>
                  </w:pPr>
                  <w:r>
                    <w:rPr>
                      <w:rFonts w:hint="eastAsia" w:ascii="宋体" w:hAnsi="宋体"/>
                      <w:bCs/>
                    </w:rPr>
                    <w:t>出院和入院护理</w:t>
                  </w:r>
                </w:p>
              </w:tc>
              <w:tc>
                <w:tcPr>
                  <w:tcW w:w="2914" w:type="dxa"/>
                </w:tcPr>
                <w:p>
                  <w:pPr>
                    <w:pStyle w:val="14"/>
                    <w:widowControl w:val="0"/>
                    <w:jc w:val="both"/>
                    <w:rPr>
                      <w:rFonts w:hint="eastAsia" w:ascii="宋体" w:hAnsi="宋体"/>
                      <w:bCs/>
                    </w:rPr>
                  </w:pPr>
                  <w:r>
                    <w:rPr>
                      <w:rFonts w:hint="eastAsia" w:ascii="宋体" w:hAnsi="宋体"/>
                      <w:bCs/>
                    </w:rPr>
                    <w:t>具有严谨求实的工作态度，对病人关心体贴，确保安全。</w:t>
                  </w:r>
                </w:p>
              </w:tc>
              <w:tc>
                <w:tcPr>
                  <w:tcW w:w="2024" w:type="dxa"/>
                </w:tcPr>
                <w:p>
                  <w:pPr>
                    <w:pStyle w:val="14"/>
                    <w:widowControl w:val="0"/>
                    <w:jc w:val="both"/>
                    <w:rPr>
                      <w:rFonts w:hint="eastAsia" w:ascii="宋体" w:hAnsi="宋体"/>
                      <w:bCs/>
                    </w:rPr>
                  </w:pPr>
                  <w:r>
                    <w:rPr>
                      <w:rFonts w:hint="eastAsia" w:ascii="宋体" w:hAnsi="宋体"/>
                      <w:bCs/>
                    </w:rPr>
                    <w:t>通过角色扮演，扮演过程中让学生体会谨求实的工作态度，对病人关心体贴，确保病人安全。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pPr>
                  <w:r>
                    <w:rPr>
                      <w:rFonts w:hint="eastAsia"/>
                    </w:rPr>
                    <w:t>3</w:t>
                  </w:r>
                </w:p>
              </w:tc>
              <w:tc>
                <w:tcPr>
                  <w:tcW w:w="2410" w:type="dxa"/>
                  <w:vAlign w:val="center"/>
                </w:tcPr>
                <w:p>
                  <w:pPr>
                    <w:pStyle w:val="14"/>
                    <w:widowControl w:val="0"/>
                    <w:jc w:val="both"/>
                    <w:rPr>
                      <w:rFonts w:hint="eastAsia" w:ascii="宋体" w:hAnsi="宋体"/>
                      <w:bCs/>
                    </w:rPr>
                  </w:pPr>
                  <w:r>
                    <w:rPr>
                      <w:rFonts w:hint="eastAsia" w:ascii="宋体" w:hAnsi="宋体"/>
                      <w:bCs/>
                    </w:rPr>
                    <w:t>舒适与安全</w:t>
                  </w:r>
                </w:p>
              </w:tc>
              <w:tc>
                <w:tcPr>
                  <w:tcW w:w="2914" w:type="dxa"/>
                </w:tcPr>
                <w:p>
                  <w:pPr>
                    <w:pStyle w:val="14"/>
                    <w:widowControl w:val="0"/>
                    <w:jc w:val="both"/>
                    <w:rPr>
                      <w:rFonts w:hint="eastAsia" w:ascii="宋体" w:hAnsi="宋体"/>
                      <w:bCs/>
                    </w:rPr>
                  </w:pPr>
                  <w:r>
                    <w:rPr>
                      <w:rFonts w:hint="eastAsia" w:ascii="宋体" w:hAnsi="宋体"/>
                      <w:bCs/>
                    </w:rPr>
                    <w:t>具有爱伤观念，做到护理操作过程中语言亲切、态度和蔼，保证病人舒适与安全，能运用所学施予人性化医疗服务的能力。</w:t>
                  </w:r>
                </w:p>
              </w:tc>
              <w:tc>
                <w:tcPr>
                  <w:tcW w:w="2024" w:type="dxa"/>
                </w:tcPr>
                <w:p>
                  <w:pPr>
                    <w:pStyle w:val="14"/>
                    <w:widowControl w:val="0"/>
                    <w:jc w:val="both"/>
                    <w:rPr>
                      <w:rFonts w:hint="eastAsia" w:ascii="宋体" w:hAnsi="宋体"/>
                      <w:bCs/>
                    </w:rPr>
                  </w:pPr>
                  <w:r>
                    <w:rPr>
                      <w:rFonts w:hint="eastAsia" w:ascii="宋体" w:hAnsi="宋体"/>
                      <w:bCs/>
                    </w:rPr>
                    <w:t>介绍医疗护理行业中的优秀代表，通过优秀代表的事例融入相应的思政元素。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pPr>
                  <w:r>
                    <w:rPr>
                      <w:rFonts w:hint="eastAsia"/>
                    </w:rPr>
                    <w:t>4</w:t>
                  </w:r>
                </w:p>
              </w:tc>
              <w:tc>
                <w:tcPr>
                  <w:tcW w:w="2410" w:type="dxa"/>
                  <w:vAlign w:val="center"/>
                </w:tcPr>
                <w:p>
                  <w:pPr>
                    <w:pStyle w:val="14"/>
                    <w:widowControl w:val="0"/>
                    <w:jc w:val="both"/>
                    <w:rPr>
                      <w:rFonts w:hint="eastAsia" w:ascii="宋体" w:hAnsi="宋体"/>
                      <w:bCs/>
                    </w:rPr>
                  </w:pPr>
                  <w:r>
                    <w:rPr>
                      <w:rFonts w:hint="eastAsia" w:ascii="宋体" w:hAnsi="宋体"/>
                      <w:bCs/>
                    </w:rPr>
                    <w:t>医院感染的预防和控制</w:t>
                  </w:r>
                </w:p>
              </w:tc>
              <w:tc>
                <w:tcPr>
                  <w:tcW w:w="2914" w:type="dxa"/>
                  <w:vAlign w:val="center"/>
                </w:tcPr>
                <w:p>
                  <w:pPr>
                    <w:pStyle w:val="14"/>
                    <w:widowControl w:val="0"/>
                    <w:jc w:val="both"/>
                    <w:rPr>
                      <w:rFonts w:hint="eastAsia" w:ascii="宋体" w:hAnsi="宋体"/>
                      <w:bCs/>
                    </w:rPr>
                  </w:pPr>
                  <w:r>
                    <w:rPr>
                      <w:rFonts w:hint="eastAsia" w:ascii="宋体" w:hAnsi="宋体"/>
                      <w:bCs/>
                    </w:rPr>
                    <w:t>具有无菌和隔离观念以及自我保护意识，工作认真、求实，预防和控制医院感染的发生。</w:t>
                  </w:r>
                </w:p>
              </w:tc>
              <w:tc>
                <w:tcPr>
                  <w:tcW w:w="2024" w:type="dxa"/>
                </w:tcPr>
                <w:p>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通过讲述“安徽宿州眼球”事件，使学生了解</w:t>
                  </w:r>
                  <w:r>
                    <w:rPr>
                      <w:rFonts w:hint="eastAsia" w:asciiTheme="minorEastAsia" w:hAnsiTheme="minorEastAsia" w:eastAsiaTheme="minorEastAsia"/>
                      <w:bCs/>
                    </w:rPr>
                    <w:t>预防和控制医院感染的发生的重要意义。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pPr>
                  <w:r>
                    <w:rPr>
                      <w:rFonts w:hint="eastAsia"/>
                    </w:rPr>
                    <w:t>5</w:t>
                  </w:r>
                </w:p>
              </w:tc>
              <w:tc>
                <w:tcPr>
                  <w:tcW w:w="2410" w:type="dxa"/>
                  <w:vAlign w:val="center"/>
                </w:tcPr>
                <w:p>
                  <w:pPr>
                    <w:pStyle w:val="14"/>
                    <w:widowControl w:val="0"/>
                    <w:jc w:val="both"/>
                    <w:rPr>
                      <w:rFonts w:hint="eastAsia" w:ascii="宋体" w:hAnsi="宋体"/>
                      <w:bCs/>
                    </w:rPr>
                  </w:pPr>
                  <w:r>
                    <w:rPr>
                      <w:rFonts w:hint="eastAsia" w:ascii="宋体" w:hAnsi="宋体"/>
                      <w:bCs/>
                    </w:rPr>
                    <w:t>清洁护理</w:t>
                  </w:r>
                </w:p>
              </w:tc>
              <w:tc>
                <w:tcPr>
                  <w:tcW w:w="2914" w:type="dxa"/>
                  <w:vAlign w:val="center"/>
                </w:tcPr>
                <w:p>
                  <w:pPr>
                    <w:pStyle w:val="14"/>
                    <w:widowControl w:val="0"/>
                    <w:jc w:val="both"/>
                    <w:rPr>
                      <w:rFonts w:hint="eastAsia" w:ascii="宋体" w:hAnsi="宋体"/>
                      <w:bCs/>
                    </w:rPr>
                  </w:pPr>
                  <w:r>
                    <w:rPr>
                      <w:rFonts w:hint="eastAsia" w:ascii="宋体" w:hAnsi="宋体"/>
                      <w:bCs/>
                    </w:rPr>
                    <w:t>具有严谨求实的工作态度，有爱伤观念，确保病人安全。</w:t>
                  </w:r>
                </w:p>
              </w:tc>
              <w:tc>
                <w:tcPr>
                  <w:tcW w:w="2024" w:type="dxa"/>
                </w:tcPr>
                <w:p>
                  <w:pPr>
                    <w:pStyle w:val="14"/>
                    <w:widowControl w:val="0"/>
                    <w:jc w:val="both"/>
                    <w:rPr>
                      <w:rFonts w:hint="eastAsia" w:ascii="宋体" w:hAnsi="宋体"/>
                      <w:bCs/>
                      <w:sz w:val="19"/>
                      <w:szCs w:val="19"/>
                    </w:rPr>
                  </w:pPr>
                  <w:r>
                    <w:rPr>
                      <w:rFonts w:hint="eastAsia" w:cs="仿宋_GB2312" w:asciiTheme="minorEastAsia" w:hAnsiTheme="minorEastAsia" w:eastAsiaTheme="minorEastAsia"/>
                    </w:rPr>
                    <w:t>通过讲述南丁格尔开创护理专业的事例融入相应的思政元素。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hint="eastAsia" w:ascii="宋体" w:hAnsi="宋体"/>
                      <w:bCs/>
                    </w:rPr>
                  </w:pPr>
                  <w:r>
                    <w:rPr>
                      <w:rFonts w:hint="eastAsia" w:ascii="宋体" w:hAnsi="宋体"/>
                      <w:bCs/>
                    </w:rPr>
                    <w:t>6</w:t>
                  </w:r>
                </w:p>
              </w:tc>
              <w:tc>
                <w:tcPr>
                  <w:tcW w:w="2410" w:type="dxa"/>
                  <w:vAlign w:val="center"/>
                </w:tcPr>
                <w:p>
                  <w:pPr>
                    <w:pStyle w:val="14"/>
                    <w:widowControl w:val="0"/>
                    <w:jc w:val="both"/>
                    <w:rPr>
                      <w:rFonts w:hint="eastAsia" w:ascii="宋体" w:hAnsi="宋体"/>
                      <w:bCs/>
                    </w:rPr>
                  </w:pPr>
                  <w:r>
                    <w:rPr>
                      <w:rFonts w:hint="eastAsia" w:ascii="宋体" w:hAnsi="宋体"/>
                      <w:bCs/>
                    </w:rPr>
                    <w:t>生命体征的观察与护理</w:t>
                  </w:r>
                </w:p>
              </w:tc>
              <w:tc>
                <w:tcPr>
                  <w:tcW w:w="2914" w:type="dxa"/>
                  <w:vAlign w:val="center"/>
                </w:tcPr>
                <w:p>
                  <w:pPr>
                    <w:pStyle w:val="14"/>
                    <w:widowControl w:val="0"/>
                    <w:jc w:val="both"/>
                    <w:rPr>
                      <w:rFonts w:hint="eastAsia" w:ascii="宋体" w:hAnsi="宋体"/>
                      <w:bCs/>
                    </w:rPr>
                  </w:pPr>
                  <w:r>
                    <w:rPr>
                      <w:rFonts w:hint="eastAsia" w:ascii="宋体" w:hAnsi="宋体"/>
                      <w:bCs/>
                    </w:rPr>
                    <w:t>具有良好的护患沟通能力；具有慎独精神，操作规范、测量数值准确，关心病人。</w:t>
                  </w:r>
                </w:p>
              </w:tc>
              <w:tc>
                <w:tcPr>
                  <w:tcW w:w="2024" w:type="dxa"/>
                </w:tcPr>
                <w:p>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讲述武汉发现新冠病毒第一人李文亮医生以及坚持疫情上报第一人张继先医生的事迹，融入相应的思政元素。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hint="eastAsia" w:ascii="宋体" w:hAnsi="宋体"/>
                      <w:bCs/>
                    </w:rPr>
                  </w:pPr>
                  <w:r>
                    <w:rPr>
                      <w:rFonts w:hint="eastAsia" w:ascii="宋体" w:hAnsi="宋体"/>
                      <w:bCs/>
                    </w:rPr>
                    <w:t>7</w:t>
                  </w:r>
                </w:p>
              </w:tc>
              <w:tc>
                <w:tcPr>
                  <w:tcW w:w="2410" w:type="dxa"/>
                  <w:vAlign w:val="center"/>
                </w:tcPr>
                <w:p>
                  <w:pPr>
                    <w:pStyle w:val="14"/>
                    <w:widowControl w:val="0"/>
                    <w:jc w:val="both"/>
                    <w:rPr>
                      <w:rFonts w:hint="eastAsia" w:ascii="宋体" w:hAnsi="宋体"/>
                      <w:bCs/>
                    </w:rPr>
                  </w:pPr>
                  <w:r>
                    <w:rPr>
                      <w:rFonts w:hint="eastAsia" w:ascii="宋体" w:hAnsi="宋体"/>
                      <w:bCs/>
                    </w:rPr>
                    <w:t>饮食护理</w:t>
                  </w:r>
                </w:p>
              </w:tc>
              <w:tc>
                <w:tcPr>
                  <w:tcW w:w="2914" w:type="dxa"/>
                  <w:vAlign w:val="center"/>
                </w:tcPr>
                <w:p>
                  <w:pPr>
                    <w:pStyle w:val="14"/>
                    <w:widowControl w:val="0"/>
                    <w:jc w:val="both"/>
                    <w:rPr>
                      <w:rFonts w:hint="eastAsia" w:ascii="宋体" w:hAnsi="宋体"/>
                      <w:bCs/>
                    </w:rPr>
                  </w:pPr>
                  <w:r>
                    <w:rPr>
                      <w:rFonts w:hint="eastAsia" w:ascii="宋体" w:hAnsi="宋体"/>
                      <w:bCs/>
                    </w:rPr>
                    <w:t>具有高度的同情心和责任感，操作规范，关心、尊重和爱护病人。</w:t>
                  </w:r>
                </w:p>
              </w:tc>
              <w:tc>
                <w:tcPr>
                  <w:tcW w:w="2024" w:type="dxa"/>
                </w:tcPr>
                <w:p>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讲述“中国肝胆外科之父”吴孟超院士事迹，融入相应的思政元素。</w:t>
                  </w:r>
                </w:p>
              </w:tc>
            </w:tr>
          </w:tbl>
          <w:p>
            <w:pPr>
              <w:widowControl w:val="0"/>
              <w:snapToGrid w:val="0"/>
              <w:jc w:val="left"/>
              <w:rPr>
                <w:rFonts w:hint="eastAsia" w:cs="仿宋"/>
                <w:bCs/>
                <w:color w:val="000000"/>
                <w:szCs w:val="21"/>
              </w:rPr>
            </w:pPr>
          </w:p>
        </w:tc>
      </w:tr>
      <w:bookmarkEnd w:id="2"/>
      <w:bookmarkEnd w:id="3"/>
    </w:tbl>
    <w:p>
      <w:pPr>
        <w:pStyle w:val="16"/>
        <w:spacing w:before="326" w:beforeLines="100" w:line="360" w:lineRule="auto"/>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07"/>
        <w:gridCol w:w="907"/>
        <w:gridCol w:w="907"/>
        <w:gridCol w:w="90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28" w:type="dxa"/>
            <w:gridSpan w:val="4"/>
            <w:tcBorders>
              <w:top w:val="single" w:color="auto" w:sz="12" w:space="0"/>
              <w:left w:val="double" w:color="auto" w:sz="4"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709" w:type="dxa"/>
            <w:vMerge w:val="continue"/>
          </w:tcPr>
          <w:p>
            <w:pPr>
              <w:pStyle w:val="16"/>
              <w:widowControl w:val="0"/>
              <w:jc w:val="both"/>
              <w:rPr>
                <w:rFonts w:hint="eastAsia" w:ascii="黑体" w:hAnsi="黑体"/>
                <w:bCs/>
                <w:sz w:val="21"/>
                <w:szCs w:val="21"/>
              </w:rPr>
            </w:pPr>
          </w:p>
        </w:tc>
        <w:tc>
          <w:tcPr>
            <w:tcW w:w="2353" w:type="dxa"/>
            <w:vMerge w:val="continue"/>
            <w:tcBorders>
              <w:right w:val="double" w:color="auto" w:sz="4" w:space="0"/>
            </w:tcBorders>
          </w:tcPr>
          <w:p>
            <w:pPr>
              <w:pStyle w:val="16"/>
              <w:widowControl w:val="0"/>
              <w:jc w:val="both"/>
              <w:rPr>
                <w:rFonts w:hint="eastAsia" w:ascii="黑体" w:hAnsi="黑体"/>
                <w:bCs/>
                <w:sz w:val="21"/>
                <w:szCs w:val="21"/>
              </w:rPr>
            </w:pPr>
          </w:p>
        </w:tc>
        <w:tc>
          <w:tcPr>
            <w:tcW w:w="907" w:type="dxa"/>
            <w:tcBorders>
              <w:left w:val="double" w:color="auto" w:sz="4"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907"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907"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907"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pPr>
              <w:pStyle w:val="16"/>
              <w:widowControl w:val="0"/>
              <w:spacing w:line="240" w:lineRule="auto"/>
              <w:jc w:val="center"/>
              <w:rPr>
                <w:rFonts w:hint="eastAsia"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w:t>
            </w:r>
            <w:r>
              <w:t>0%</w:t>
            </w:r>
          </w:p>
        </w:tc>
        <w:tc>
          <w:tcPr>
            <w:tcW w:w="2353" w:type="dxa"/>
            <w:tcBorders>
              <w:right w:val="double" w:color="auto" w:sz="4" w:space="0"/>
            </w:tcBorders>
            <w:vAlign w:val="center"/>
          </w:tcPr>
          <w:p>
            <w:pPr>
              <w:pStyle w:val="14"/>
              <w:widowControl w:val="0"/>
            </w:pPr>
            <w:r>
              <w:rPr>
                <w:rFonts w:hint="eastAsia"/>
              </w:rPr>
              <w:t>期末考试（闭卷）</w:t>
            </w:r>
          </w:p>
        </w:tc>
        <w:tc>
          <w:tcPr>
            <w:tcW w:w="907" w:type="dxa"/>
            <w:tcBorders>
              <w:left w:val="double" w:color="auto" w:sz="4" w:space="0"/>
            </w:tcBorders>
            <w:vAlign w:val="center"/>
          </w:tcPr>
          <w:p>
            <w:pPr>
              <w:pStyle w:val="14"/>
              <w:widowControl w:val="0"/>
            </w:pPr>
            <w:r>
              <w:rPr>
                <w:rFonts w:hint="eastAsia"/>
              </w:rPr>
              <w:t>5</w:t>
            </w:r>
            <w:r>
              <w:t>0</w:t>
            </w:r>
          </w:p>
        </w:tc>
        <w:tc>
          <w:tcPr>
            <w:tcW w:w="907" w:type="dxa"/>
            <w:vAlign w:val="center"/>
          </w:tcPr>
          <w:p>
            <w:pPr>
              <w:pStyle w:val="14"/>
              <w:widowControl w:val="0"/>
            </w:pPr>
            <w:r>
              <w:rPr>
                <w:rFonts w:hint="eastAsia"/>
              </w:rPr>
              <w:t>2</w:t>
            </w:r>
            <w:r>
              <w:t>0</w:t>
            </w:r>
          </w:p>
        </w:tc>
        <w:tc>
          <w:tcPr>
            <w:tcW w:w="907" w:type="dxa"/>
            <w:vAlign w:val="center"/>
          </w:tcPr>
          <w:p>
            <w:pPr>
              <w:pStyle w:val="14"/>
              <w:widowControl w:val="0"/>
            </w:pPr>
            <w:r>
              <w:rPr>
                <w:rFonts w:hint="eastAsia"/>
              </w:rPr>
              <w:t>2</w:t>
            </w:r>
            <w:r>
              <w:t>0</w:t>
            </w:r>
          </w:p>
        </w:tc>
        <w:tc>
          <w:tcPr>
            <w:tcW w:w="907"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操作考核</w:t>
            </w:r>
          </w:p>
        </w:tc>
        <w:tc>
          <w:tcPr>
            <w:tcW w:w="907" w:type="dxa"/>
            <w:tcBorders>
              <w:left w:val="double" w:color="auto" w:sz="4" w:space="0"/>
            </w:tcBorders>
            <w:vAlign w:val="center"/>
          </w:tcPr>
          <w:p>
            <w:pPr>
              <w:pStyle w:val="14"/>
              <w:widowControl w:val="0"/>
            </w:pPr>
            <w:r>
              <w:rPr>
                <w:rFonts w:hint="eastAsia"/>
              </w:rPr>
              <w:t>1</w:t>
            </w:r>
            <w:r>
              <w:t>0</w:t>
            </w:r>
          </w:p>
        </w:tc>
        <w:tc>
          <w:tcPr>
            <w:tcW w:w="907" w:type="dxa"/>
            <w:vAlign w:val="center"/>
          </w:tcPr>
          <w:p>
            <w:pPr>
              <w:pStyle w:val="14"/>
              <w:widowControl w:val="0"/>
            </w:pPr>
            <w:r>
              <w:rPr>
                <w:rFonts w:hint="eastAsia"/>
              </w:rPr>
              <w:t>6</w:t>
            </w:r>
            <w:r>
              <w:t>0</w:t>
            </w:r>
          </w:p>
        </w:tc>
        <w:tc>
          <w:tcPr>
            <w:tcW w:w="907" w:type="dxa"/>
            <w:vAlign w:val="center"/>
          </w:tcPr>
          <w:p>
            <w:pPr>
              <w:pStyle w:val="14"/>
              <w:widowControl w:val="0"/>
            </w:pPr>
            <w:r>
              <w:rPr>
                <w:rFonts w:hint="eastAsia"/>
              </w:rPr>
              <w:t>2</w:t>
            </w:r>
            <w:r>
              <w:t>0</w:t>
            </w:r>
          </w:p>
        </w:tc>
        <w:tc>
          <w:tcPr>
            <w:tcW w:w="907"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w:t>
            </w:r>
            <w:r>
              <w:t>0%</w:t>
            </w:r>
          </w:p>
        </w:tc>
        <w:tc>
          <w:tcPr>
            <w:tcW w:w="2353" w:type="dxa"/>
            <w:tcBorders>
              <w:right w:val="double" w:color="auto" w:sz="4" w:space="0"/>
            </w:tcBorders>
            <w:vAlign w:val="center"/>
          </w:tcPr>
          <w:p>
            <w:pPr>
              <w:pStyle w:val="14"/>
              <w:widowControl w:val="0"/>
            </w:pPr>
            <w:r>
              <w:rPr>
                <w:rFonts w:hint="eastAsia"/>
              </w:rPr>
              <w:t>阶段测验</w:t>
            </w:r>
          </w:p>
        </w:tc>
        <w:tc>
          <w:tcPr>
            <w:tcW w:w="907" w:type="dxa"/>
            <w:tcBorders>
              <w:left w:val="double" w:color="auto" w:sz="4" w:space="0"/>
            </w:tcBorders>
            <w:vAlign w:val="center"/>
          </w:tcPr>
          <w:p>
            <w:pPr>
              <w:pStyle w:val="14"/>
              <w:widowControl w:val="0"/>
            </w:pPr>
            <w:r>
              <w:rPr>
                <w:rFonts w:hint="eastAsia"/>
              </w:rPr>
              <w:t>6</w:t>
            </w:r>
            <w:r>
              <w:t>0</w:t>
            </w:r>
          </w:p>
        </w:tc>
        <w:tc>
          <w:tcPr>
            <w:tcW w:w="907" w:type="dxa"/>
            <w:vAlign w:val="center"/>
          </w:tcPr>
          <w:p>
            <w:pPr>
              <w:pStyle w:val="14"/>
              <w:widowControl w:val="0"/>
            </w:pPr>
          </w:p>
        </w:tc>
        <w:tc>
          <w:tcPr>
            <w:tcW w:w="907" w:type="dxa"/>
            <w:vAlign w:val="center"/>
          </w:tcPr>
          <w:p>
            <w:pPr>
              <w:pStyle w:val="14"/>
              <w:widowControl w:val="0"/>
            </w:pPr>
            <w:r>
              <w:t>40</w:t>
            </w:r>
          </w:p>
        </w:tc>
        <w:tc>
          <w:tcPr>
            <w:tcW w:w="907"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pPr>
            <w:r>
              <w:rPr>
                <w:rFonts w:hint="eastAsia"/>
              </w:rPr>
              <w:t>1</w:t>
            </w:r>
            <w:r>
              <w:t>0%</w:t>
            </w:r>
          </w:p>
        </w:tc>
        <w:tc>
          <w:tcPr>
            <w:tcW w:w="2353" w:type="dxa"/>
            <w:tcBorders>
              <w:bottom w:val="single" w:color="auto" w:sz="12" w:space="0"/>
              <w:right w:val="double" w:color="auto" w:sz="4" w:space="0"/>
            </w:tcBorders>
            <w:vAlign w:val="center"/>
          </w:tcPr>
          <w:p>
            <w:pPr>
              <w:pStyle w:val="14"/>
              <w:widowControl w:val="0"/>
            </w:pPr>
            <w:r>
              <w:rPr>
                <w:rFonts w:hint="eastAsia"/>
              </w:rPr>
              <w:t>实训报告</w:t>
            </w:r>
          </w:p>
        </w:tc>
        <w:tc>
          <w:tcPr>
            <w:tcW w:w="907" w:type="dxa"/>
            <w:tcBorders>
              <w:left w:val="double" w:color="auto" w:sz="4" w:space="0"/>
              <w:bottom w:val="single" w:color="auto" w:sz="12" w:space="0"/>
            </w:tcBorders>
            <w:vAlign w:val="center"/>
          </w:tcPr>
          <w:p>
            <w:pPr>
              <w:pStyle w:val="14"/>
              <w:widowControl w:val="0"/>
            </w:pPr>
            <w:r>
              <w:t>20</w:t>
            </w:r>
          </w:p>
        </w:tc>
        <w:tc>
          <w:tcPr>
            <w:tcW w:w="907" w:type="dxa"/>
            <w:tcBorders>
              <w:bottom w:val="single" w:color="auto" w:sz="12" w:space="0"/>
            </w:tcBorders>
            <w:vAlign w:val="center"/>
          </w:tcPr>
          <w:p>
            <w:pPr>
              <w:pStyle w:val="14"/>
              <w:widowControl w:val="0"/>
            </w:pPr>
            <w:r>
              <w:rPr>
                <w:rFonts w:hint="eastAsia"/>
              </w:rPr>
              <w:t>5</w:t>
            </w:r>
            <w:r>
              <w:t>0</w:t>
            </w:r>
          </w:p>
        </w:tc>
        <w:tc>
          <w:tcPr>
            <w:tcW w:w="907" w:type="dxa"/>
            <w:tcBorders>
              <w:bottom w:val="single" w:color="auto" w:sz="12" w:space="0"/>
            </w:tcBorders>
            <w:vAlign w:val="center"/>
          </w:tcPr>
          <w:p>
            <w:pPr>
              <w:pStyle w:val="14"/>
              <w:widowControl w:val="0"/>
            </w:pPr>
            <w:r>
              <w:rPr>
                <w:rFonts w:hint="eastAsia"/>
              </w:rPr>
              <w:t>2</w:t>
            </w:r>
            <w:r>
              <w:t>0</w:t>
            </w:r>
          </w:p>
        </w:tc>
        <w:tc>
          <w:tcPr>
            <w:tcW w:w="907" w:type="dxa"/>
            <w:tcBorders>
              <w:bottom w:val="single" w:color="auto" w:sz="12" w:space="0"/>
            </w:tcBorders>
            <w:vAlign w:val="center"/>
          </w:tcPr>
          <w:p>
            <w:pPr>
              <w:pStyle w:val="14"/>
              <w:widowControl w:val="0"/>
            </w:pPr>
            <w:r>
              <w:t>10</w:t>
            </w: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hint="eastAsia" w:ascii="黑体" w:hAnsi="黑体" w:eastAsia="黑体"/>
                <w:bCs/>
                <w:sz w:val="21"/>
                <w:szCs w:val="21"/>
              </w:rPr>
            </w:pPr>
          </w:p>
        </w:tc>
        <w:tc>
          <w:tcPr>
            <w:tcW w:w="648" w:type="dxa"/>
            <w:vMerge w:val="continue"/>
          </w:tcPr>
          <w:p>
            <w:pPr>
              <w:pStyle w:val="16"/>
              <w:widowControl w:val="0"/>
              <w:jc w:val="both"/>
              <w:rPr>
                <w:rFonts w:hint="eastAsia" w:ascii="黑体" w:hAnsi="黑体"/>
                <w:bCs/>
                <w:sz w:val="21"/>
                <w:szCs w:val="21"/>
              </w:rPr>
            </w:pPr>
          </w:p>
        </w:tc>
        <w:tc>
          <w:tcPr>
            <w:tcW w:w="1403" w:type="dxa"/>
            <w:vMerge w:val="continue"/>
          </w:tcPr>
          <w:p>
            <w:pPr>
              <w:pStyle w:val="16"/>
              <w:widowControl w:val="0"/>
              <w:jc w:val="both"/>
              <w:rPr>
                <w:rFonts w:hint="eastAsia"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6"/>
              <w:widowControl/>
              <w:shd w:val="clear" w:color="auto" w:fill="FFFFFF"/>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snapToGrid w:val="0"/>
              <w:jc w:val="left"/>
              <w:rPr>
                <w:rFonts w:ascii="Arial" w:hAnsi="Arial" w:eastAsia="黑体" w:cs="Arial"/>
                <w:bCs/>
                <w:sz w:val="21"/>
                <w:szCs w:val="21"/>
              </w:rPr>
            </w:pPr>
          </w:p>
          <w:p>
            <w:pPr>
              <w:widowControl w:val="0"/>
              <w:snapToGrid w:val="0"/>
              <w:jc w:val="left"/>
              <w:rPr>
                <w:rFonts w:ascii="Arial" w:hAnsi="Arial" w:eastAsia="黑体" w:cs="Arial"/>
                <w:bCs/>
                <w:sz w:val="21"/>
                <w:szCs w:val="21"/>
              </w:rPr>
            </w:pPr>
            <w:r>
              <w:rPr>
                <w:rFonts w:hint="eastAsia" w:ascii="Arial" w:hAnsi="Arial" w:eastAsia="黑体" w:cs="Arial"/>
                <w:bCs/>
                <w:sz w:val="21"/>
                <w:szCs w:val="21"/>
              </w:rPr>
              <w:t>无。</w:t>
            </w:r>
          </w:p>
          <w:p>
            <w:pPr>
              <w:widowControl w:val="0"/>
              <w:snapToGrid w:val="0"/>
              <w:jc w:val="left"/>
              <w:rPr>
                <w:rFonts w:hint="eastAsia" w:ascii="黑体"/>
              </w:rPr>
            </w:pPr>
          </w:p>
        </w:tc>
      </w:tr>
    </w:tbl>
    <w:p>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20"/>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272CC"/>
    <w:rsid w:val="00033082"/>
    <w:rsid w:val="00036E80"/>
    <w:rsid w:val="0006001D"/>
    <w:rsid w:val="00066041"/>
    <w:rsid w:val="0007448A"/>
    <w:rsid w:val="00074B82"/>
    <w:rsid w:val="00075686"/>
    <w:rsid w:val="0008122A"/>
    <w:rsid w:val="00087488"/>
    <w:rsid w:val="00091107"/>
    <w:rsid w:val="00092F55"/>
    <w:rsid w:val="000A4E73"/>
    <w:rsid w:val="000B1BD2"/>
    <w:rsid w:val="000C0F0D"/>
    <w:rsid w:val="000D28E5"/>
    <w:rsid w:val="000D34D7"/>
    <w:rsid w:val="00100633"/>
    <w:rsid w:val="001015C2"/>
    <w:rsid w:val="001025A4"/>
    <w:rsid w:val="001072BC"/>
    <w:rsid w:val="00114BD6"/>
    <w:rsid w:val="001151F1"/>
    <w:rsid w:val="00130F6D"/>
    <w:rsid w:val="00142C42"/>
    <w:rsid w:val="00144082"/>
    <w:rsid w:val="00163A48"/>
    <w:rsid w:val="00164E36"/>
    <w:rsid w:val="00183AA1"/>
    <w:rsid w:val="001A135C"/>
    <w:rsid w:val="001B0D49"/>
    <w:rsid w:val="001B546F"/>
    <w:rsid w:val="001C2E3E"/>
    <w:rsid w:val="001C388D"/>
    <w:rsid w:val="001D0453"/>
    <w:rsid w:val="001D1A04"/>
    <w:rsid w:val="001D3F08"/>
    <w:rsid w:val="001E1D2D"/>
    <w:rsid w:val="001E32B7"/>
    <w:rsid w:val="001E5A17"/>
    <w:rsid w:val="001F332E"/>
    <w:rsid w:val="002056AB"/>
    <w:rsid w:val="002125E7"/>
    <w:rsid w:val="00213C38"/>
    <w:rsid w:val="00217861"/>
    <w:rsid w:val="002204E4"/>
    <w:rsid w:val="002211BF"/>
    <w:rsid w:val="00224487"/>
    <w:rsid w:val="002339E7"/>
    <w:rsid w:val="00233F15"/>
    <w:rsid w:val="002420F1"/>
    <w:rsid w:val="00253AC8"/>
    <w:rsid w:val="00256B39"/>
    <w:rsid w:val="0025768A"/>
    <w:rsid w:val="0026033C"/>
    <w:rsid w:val="0027339A"/>
    <w:rsid w:val="00274E82"/>
    <w:rsid w:val="002757AB"/>
    <w:rsid w:val="002759CF"/>
    <w:rsid w:val="0027777C"/>
    <w:rsid w:val="00277FE7"/>
    <w:rsid w:val="002877FA"/>
    <w:rsid w:val="00290962"/>
    <w:rsid w:val="0029118D"/>
    <w:rsid w:val="00297AF7"/>
    <w:rsid w:val="002A1A79"/>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3E23"/>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1C0A"/>
    <w:rsid w:val="0041267F"/>
    <w:rsid w:val="00424BA5"/>
    <w:rsid w:val="00425431"/>
    <w:rsid w:val="00431829"/>
    <w:rsid w:val="0043755F"/>
    <w:rsid w:val="004405E6"/>
    <w:rsid w:val="00443C84"/>
    <w:rsid w:val="004540AA"/>
    <w:rsid w:val="004556B7"/>
    <w:rsid w:val="00456BD8"/>
    <w:rsid w:val="00456DC8"/>
    <w:rsid w:val="0046549D"/>
    <w:rsid w:val="00471668"/>
    <w:rsid w:val="00481F98"/>
    <w:rsid w:val="004852BF"/>
    <w:rsid w:val="00487A46"/>
    <w:rsid w:val="0049389F"/>
    <w:rsid w:val="00494579"/>
    <w:rsid w:val="00496AC0"/>
    <w:rsid w:val="00497334"/>
    <w:rsid w:val="004A4D68"/>
    <w:rsid w:val="004A4D73"/>
    <w:rsid w:val="004B408D"/>
    <w:rsid w:val="004B6F68"/>
    <w:rsid w:val="004B73F7"/>
    <w:rsid w:val="004D4FB3"/>
    <w:rsid w:val="004D75A6"/>
    <w:rsid w:val="004E3456"/>
    <w:rsid w:val="004F0A2E"/>
    <w:rsid w:val="004F3DF0"/>
    <w:rsid w:val="005074E1"/>
    <w:rsid w:val="005126F1"/>
    <w:rsid w:val="0051358A"/>
    <w:rsid w:val="00513F2F"/>
    <w:rsid w:val="0051612A"/>
    <w:rsid w:val="00517176"/>
    <w:rsid w:val="00524300"/>
    <w:rsid w:val="0052677F"/>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074C"/>
    <w:rsid w:val="0059045B"/>
    <w:rsid w:val="00590EEA"/>
    <w:rsid w:val="005A13AB"/>
    <w:rsid w:val="005B1150"/>
    <w:rsid w:val="005B1FFC"/>
    <w:rsid w:val="005B2B6D"/>
    <w:rsid w:val="005B36F9"/>
    <w:rsid w:val="005B4B4E"/>
    <w:rsid w:val="005B5BA9"/>
    <w:rsid w:val="005D5B6F"/>
    <w:rsid w:val="005E38A5"/>
    <w:rsid w:val="005F3F08"/>
    <w:rsid w:val="005F5185"/>
    <w:rsid w:val="00607F0A"/>
    <w:rsid w:val="006108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3543D"/>
    <w:rsid w:val="00742E7A"/>
    <w:rsid w:val="0074424F"/>
    <w:rsid w:val="00774C1F"/>
    <w:rsid w:val="0078248F"/>
    <w:rsid w:val="007934A4"/>
    <w:rsid w:val="00796B09"/>
    <w:rsid w:val="007A0AC9"/>
    <w:rsid w:val="007A1B70"/>
    <w:rsid w:val="007A57F6"/>
    <w:rsid w:val="007A6BC4"/>
    <w:rsid w:val="007B069A"/>
    <w:rsid w:val="007B4FFB"/>
    <w:rsid w:val="007C0518"/>
    <w:rsid w:val="007C0BCE"/>
    <w:rsid w:val="007C3566"/>
    <w:rsid w:val="007C794A"/>
    <w:rsid w:val="007D2794"/>
    <w:rsid w:val="007D5A33"/>
    <w:rsid w:val="007E620F"/>
    <w:rsid w:val="007E663C"/>
    <w:rsid w:val="007E7795"/>
    <w:rsid w:val="0080066B"/>
    <w:rsid w:val="00803578"/>
    <w:rsid w:val="008036DF"/>
    <w:rsid w:val="00815B8E"/>
    <w:rsid w:val="00816D99"/>
    <w:rsid w:val="008171E6"/>
    <w:rsid w:val="00822F13"/>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45A4"/>
    <w:rsid w:val="00925F8C"/>
    <w:rsid w:val="00927324"/>
    <w:rsid w:val="00932ED7"/>
    <w:rsid w:val="0093624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3937"/>
    <w:rsid w:val="00A15A77"/>
    <w:rsid w:val="00A17885"/>
    <w:rsid w:val="00A2337D"/>
    <w:rsid w:val="00A31BBE"/>
    <w:rsid w:val="00A31D34"/>
    <w:rsid w:val="00A333EF"/>
    <w:rsid w:val="00A475BE"/>
    <w:rsid w:val="00A51D40"/>
    <w:rsid w:val="00A70B93"/>
    <w:rsid w:val="00A769B1"/>
    <w:rsid w:val="00A77DA3"/>
    <w:rsid w:val="00A820DF"/>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3D43"/>
    <w:rsid w:val="00C56E09"/>
    <w:rsid w:val="00C61B1B"/>
    <w:rsid w:val="00C673D1"/>
    <w:rsid w:val="00C746CB"/>
    <w:rsid w:val="00C757D2"/>
    <w:rsid w:val="00C759B5"/>
    <w:rsid w:val="00C81564"/>
    <w:rsid w:val="00C9080C"/>
    <w:rsid w:val="00CA18FD"/>
    <w:rsid w:val="00CA360C"/>
    <w:rsid w:val="00CA4897"/>
    <w:rsid w:val="00CA6928"/>
    <w:rsid w:val="00CB3D3F"/>
    <w:rsid w:val="00CB5A1A"/>
    <w:rsid w:val="00CC53D3"/>
    <w:rsid w:val="00CC59E6"/>
    <w:rsid w:val="00CD5BDD"/>
    <w:rsid w:val="00CE2622"/>
    <w:rsid w:val="00CE560F"/>
    <w:rsid w:val="00CF096B"/>
    <w:rsid w:val="00CF10F7"/>
    <w:rsid w:val="00CF3492"/>
    <w:rsid w:val="00CF5EE3"/>
    <w:rsid w:val="00CF691F"/>
    <w:rsid w:val="00CF72A1"/>
    <w:rsid w:val="00D026DC"/>
    <w:rsid w:val="00D15595"/>
    <w:rsid w:val="00D25F66"/>
    <w:rsid w:val="00D44860"/>
    <w:rsid w:val="00D47689"/>
    <w:rsid w:val="00D50C42"/>
    <w:rsid w:val="00D57CF5"/>
    <w:rsid w:val="00D612BC"/>
    <w:rsid w:val="00D62F98"/>
    <w:rsid w:val="00D66FD6"/>
    <w:rsid w:val="00D82614"/>
    <w:rsid w:val="00D8285B"/>
    <w:rsid w:val="00D86619"/>
    <w:rsid w:val="00D93E7C"/>
    <w:rsid w:val="00DA4508"/>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3C1A"/>
    <w:rsid w:val="00EC70A9"/>
    <w:rsid w:val="00ED29C8"/>
    <w:rsid w:val="00ED40D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1971"/>
    <w:rsid w:val="00FE3221"/>
    <w:rsid w:val="00FE571F"/>
    <w:rsid w:val="00FF47F6"/>
    <w:rsid w:val="016E63C2"/>
    <w:rsid w:val="024B0C39"/>
    <w:rsid w:val="07846403"/>
    <w:rsid w:val="0A8128A6"/>
    <w:rsid w:val="0BF32A1B"/>
    <w:rsid w:val="10BD2C22"/>
    <w:rsid w:val="22987C80"/>
    <w:rsid w:val="24192CCC"/>
    <w:rsid w:val="350442FF"/>
    <w:rsid w:val="39A66CD4"/>
    <w:rsid w:val="3CD52CE1"/>
    <w:rsid w:val="40EE59FF"/>
    <w:rsid w:val="410F2E6A"/>
    <w:rsid w:val="4430136C"/>
    <w:rsid w:val="4AB0382B"/>
    <w:rsid w:val="569868B5"/>
    <w:rsid w:val="611F6817"/>
    <w:rsid w:val="63201BF7"/>
    <w:rsid w:val="66B80849"/>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4706</Words>
  <Characters>4936</Characters>
  <Lines>39</Lines>
  <Paragraphs>11</Paragraphs>
  <TotalTime>0</TotalTime>
  <ScaleCrop>false</ScaleCrop>
  <LinksUpToDate>false</LinksUpToDate>
  <CharactersWithSpaces>4951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郭永洪</cp:lastModifiedBy>
  <cp:lastPrinted>2023-09-17T07:48:00Z</cp:lastPrinted>
  <dcterms:modified xsi:type="dcterms:W3CDTF">2024-08-29T08:42:40Z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DF37A13790CC4850BEC64FD47AA556D9_12</vt:lpwstr>
  </property>
</Properties>
</file>