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专业课课程</w:t>
      </w:r>
      <w:r>
        <w:rPr>
          <w:rFonts w:hint="eastAsia" w:ascii="方正小标宋简体" w:hAnsi="宋体" w:eastAsia="方正小标宋简体"/>
          <w:bCs/>
          <w:kern w:val="0"/>
          <w:sz w:val="40"/>
          <w:szCs w:val="40"/>
        </w:rPr>
        <w:t xml:space="preserve">教学大纲 </w:t>
      </w:r>
    </w:p>
    <w:p>
      <w:pPr>
        <w:spacing w:line="288" w:lineRule="auto"/>
        <w:jc w:val="center"/>
        <w:rPr>
          <w:b/>
          <w:sz w:val="28"/>
          <w:szCs w:val="30"/>
        </w:rPr>
      </w:pPr>
      <w:r>
        <w:rPr>
          <w:rFonts w:hint="eastAsia"/>
          <w:b/>
          <w:sz w:val="28"/>
          <w:szCs w:val="30"/>
        </w:rPr>
        <w:t>【健康信息检索与利用】</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Medical Information Retrieval and Use</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rPr>
        <w:t>2</w:t>
      </w:r>
      <w:r>
        <w:rPr>
          <w:rFonts w:ascii="宋体" w:hAnsi="宋体"/>
        </w:rPr>
        <w:t>170037</w:t>
      </w:r>
      <w:r>
        <w:rPr>
          <w:color w:val="000000"/>
          <w:sz w:val="20"/>
          <w:szCs w:val="20"/>
        </w:rPr>
        <w:t>】</w:t>
      </w:r>
    </w:p>
    <w:p>
      <w:pPr>
        <w:snapToGrid w:val="0"/>
        <w:spacing w:line="288" w:lineRule="auto"/>
        <w:ind w:firstLine="394" w:firstLineChars="196"/>
        <w:rPr>
          <w:color w:val="000000"/>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rPr>
      </w:pPr>
      <w:r>
        <w:rPr>
          <w:b/>
          <w:bCs/>
          <w:color w:val="000000"/>
          <w:sz w:val="20"/>
          <w:szCs w:val="20"/>
        </w:rPr>
        <w:t>面向专业：</w:t>
      </w:r>
      <w:r>
        <w:rPr>
          <w:color w:val="000000"/>
          <w:sz w:val="20"/>
          <w:szCs w:val="20"/>
        </w:rPr>
        <w:t>【</w:t>
      </w:r>
      <w:r>
        <w:rPr>
          <w:rFonts w:hint="eastAsia"/>
          <w:color w:val="000000"/>
          <w:sz w:val="20"/>
          <w:szCs w:val="20"/>
        </w:rPr>
        <w:t>养老服务管理</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p>
    <w:p>
      <w:pPr>
        <w:snapToGrid w:val="0"/>
        <w:spacing w:line="288" w:lineRule="auto"/>
        <w:ind w:firstLine="394" w:firstLineChars="196"/>
        <w:rPr>
          <w:b/>
          <w:bCs/>
          <w:color w:val="000000"/>
        </w:rPr>
      </w:pPr>
      <w:r>
        <w:rPr>
          <w:b/>
          <w:bCs/>
          <w:color w:val="000000"/>
          <w:sz w:val="20"/>
          <w:szCs w:val="20"/>
        </w:rPr>
        <w:t>开课院系：</w:t>
      </w:r>
      <w:r>
        <w:rPr>
          <w:rFonts w:hint="eastAsia"/>
          <w:color w:val="000000"/>
          <w:sz w:val="20"/>
          <w:szCs w:val="20"/>
        </w:rPr>
        <w:t>健康管理学院养老服务管理系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rPr>
      </w:pPr>
      <w:r>
        <w:rPr>
          <w:color w:val="000000"/>
          <w:sz w:val="20"/>
          <w:szCs w:val="20"/>
        </w:rPr>
        <w:t>教材【</w:t>
      </w:r>
      <w:r>
        <w:rPr>
          <w:rFonts w:hint="eastAsia"/>
          <w:color w:val="000000"/>
          <w:sz w:val="20"/>
          <w:szCs w:val="20"/>
        </w:rPr>
        <w:t>黄晓鹂，医学信息检索与利用，科学出版社，第2版</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李晓玲，医学信息检索与利用，复旦大学出版社，第五版</w:t>
      </w:r>
    </w:p>
    <w:p>
      <w:pPr>
        <w:snapToGrid w:val="0"/>
        <w:spacing w:line="288" w:lineRule="auto"/>
        <w:ind w:firstLine="1800" w:firstLineChars="900"/>
        <w:rPr>
          <w:color w:val="000000"/>
          <w:sz w:val="20"/>
          <w:szCs w:val="20"/>
        </w:rPr>
      </w:pPr>
      <w:r>
        <w:rPr>
          <w:rFonts w:hint="eastAsia"/>
          <w:color w:val="000000"/>
          <w:sz w:val="20"/>
          <w:szCs w:val="20"/>
        </w:rPr>
        <w:t>桂晓苗，医学信息检索与利用，华中科技大学出版社</w:t>
      </w:r>
    </w:p>
    <w:p>
      <w:pPr>
        <w:snapToGrid w:val="0"/>
        <w:spacing w:line="288" w:lineRule="auto"/>
        <w:ind w:firstLine="1800" w:firstLineChars="900"/>
        <w:rPr>
          <w:color w:val="000000"/>
        </w:rPr>
      </w:pPr>
      <w:r>
        <w:rPr>
          <w:rFonts w:hint="eastAsia"/>
          <w:color w:val="000000"/>
          <w:sz w:val="20"/>
          <w:szCs w:val="20"/>
        </w:rPr>
        <w:t>赵文龙，医学信息检索与利用，科学出版社</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课程网站网址：无</w:t>
      </w:r>
    </w:p>
    <w:p>
      <w:pPr>
        <w:adjustRightInd w:val="0"/>
        <w:snapToGrid w:val="0"/>
        <w:spacing w:line="288" w:lineRule="auto"/>
        <w:ind w:firstLine="394" w:firstLineChars="196"/>
        <w:rPr>
          <w:color w:val="000000"/>
          <w:sz w:val="20"/>
          <w:szCs w:val="20"/>
        </w:rPr>
      </w:pPr>
      <w:r>
        <w:rPr>
          <w:b/>
          <w:bCs/>
          <w:sz w:val="20"/>
          <w:szCs w:val="20"/>
        </w:rPr>
        <w:t>先修课程：</w:t>
      </w:r>
      <w:r>
        <w:rPr>
          <w:sz w:val="20"/>
          <w:szCs w:val="20"/>
        </w:rPr>
        <w:t>【</w:t>
      </w:r>
      <w:r>
        <w:rPr>
          <w:rFonts w:hint="eastAsia"/>
          <w:sz w:val="20"/>
          <w:szCs w:val="20"/>
        </w:rPr>
        <w:t>大学英语1,2020229；大学信息技术2050710；</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本课程是一门以医学信息检索工具利用为主线，以电子与网络文献信息、数据库与Internet上医学文献信息的检索为重点，系统介绍文献信息检索工具及其利用方法，以及医学信息利用与情报调研、医学论文写作方面的内容，旨在培养学生获取和利用文献信息能力的方法学课程。使学生在了解医学文献基本知识、文献检索的基本知识及基本原理基础上，熟悉并掌握各种医学及相关学科专业文献检索信息工具、数据库的特点和检索方法，以及网络医学资源的分布及利用方法，培养医学生的信息素养，提高其信息获取和信息利用能力，使学生能够系统地了解和较为熟练地掌握各类网络数据库的检索，利用现代信息技术和网络信息资源来解决学术研究中的实际问题。通过课程学习学生可以快速检索信息，用于解决医学相关问题。</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本课程适用于养老服务等相关专业学生大学二年级及以上。</w:t>
      </w:r>
    </w:p>
    <w:p>
      <w:pPr>
        <w:snapToGrid w:val="0"/>
        <w:spacing w:line="288" w:lineRule="auto"/>
        <w:ind w:firstLine="400" w:firstLineChars="200"/>
        <w:rPr>
          <w:color w:val="000000"/>
          <w:sz w:val="20"/>
          <w:szCs w:val="20"/>
        </w:rPr>
      </w:pPr>
      <w:r>
        <w:rPr>
          <w:rFonts w:hint="eastAsia"/>
          <w:color w:val="000000"/>
          <w:sz w:val="20"/>
          <w:szCs w:val="20"/>
        </w:rPr>
        <w:t>学生应具备一定的英语，计算机基础应用能力，并学习一定的专业课程，可通过信息检索课程进一步提高学习能力。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p>
      <w:pPr>
        <w:ind w:firstLine="420" w:firstLineChars="200"/>
      </w:pPr>
    </w:p>
    <w:tbl>
      <w:tblPr>
        <w:tblStyle w:val="4"/>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665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77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0"/>
                <w:szCs w:val="20"/>
              </w:rPr>
            </w:pPr>
            <w:r>
              <w:rPr>
                <w:rFonts w:hint="eastAsia" w:ascii="黑体" w:hAnsi="黑体" w:eastAsia="黑体"/>
                <w:kern w:val="0"/>
                <w:sz w:val="20"/>
                <w:szCs w:val="20"/>
              </w:rPr>
              <w:t>专业毕业要求</w:t>
            </w:r>
          </w:p>
        </w:tc>
        <w:tc>
          <w:tcPr>
            <w:tcW w:w="6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0"/>
                <w:szCs w:val="20"/>
              </w:rPr>
            </w:pPr>
            <w:r>
              <w:rPr>
                <w:rFonts w:hint="eastAsia" w:ascii="黑体" w:hAnsi="黑体" w:eastAsia="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L01</w:t>
            </w:r>
          </w:p>
          <w:p>
            <w:pPr>
              <w:adjustRightInd w:val="0"/>
              <w:snapToGrid w:val="0"/>
              <w:spacing w:line="264" w:lineRule="auto"/>
              <w:outlineLvl w:val="1"/>
              <w:rPr>
                <w:rFonts w:ascii="宋体" w:hAnsi="宋体"/>
                <w:color w:val="000000"/>
              </w:rPr>
            </w:pPr>
            <w:r>
              <w:rPr>
                <w:rFonts w:hint="eastAsia" w:ascii="仿宋" w:hAnsi="仿宋" w:eastAsia="仿宋" w:cs="宋体"/>
                <w:color w:val="000000"/>
                <w:kern w:val="0"/>
              </w:rPr>
              <w:t>品德修养</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LO11 爱党爱国，坚决拥护党的领导，热爱祖国的大好河山、悠久历史、灿烂文化，自觉维护民族利益和国家尊严。</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LO12 遵纪守法，增强法律意识，培养法律思维，自觉遵守法律法规、校纪校规。</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LO13 奉献社会，富有爱心，懂得感恩，自觉传承和弘扬雷锋精神，具有服务社会的意愿和行动，积极参加志愿者服务。</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LO14 诚信尽责，为人诚实，信守承诺，勤奋努力，精益求精，勇于担责。</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LO15 爱岗敬业，热爱所学专业，勤学多练，锤炼技能。熟悉本专业相关的法律法规，在实习实践中自觉遵守职业规范，具备职业道德操守。</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仿宋" w:hAnsi="仿宋" w:eastAsia="仿宋" w:cs="宋体"/>
                <w:color w:val="000000"/>
                <w:kern w:val="0"/>
                <w:sz w:val="24"/>
                <w:szCs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LO2</w:t>
            </w:r>
          </w:p>
          <w:p>
            <w:pPr>
              <w:adjustRightInd w:val="0"/>
              <w:snapToGrid w:val="0"/>
              <w:spacing w:line="264" w:lineRule="auto"/>
              <w:outlineLvl w:val="1"/>
              <w:rPr>
                <w:rFonts w:ascii="宋体" w:hAnsi="宋体"/>
                <w:color w:val="000000"/>
              </w:rPr>
            </w:pPr>
            <w:r>
              <w:rPr>
                <w:rFonts w:hint="eastAsia" w:ascii="仿宋" w:hAnsi="仿宋" w:eastAsia="仿宋" w:cs="宋体"/>
                <w:color w:val="000000"/>
                <w:kern w:val="0"/>
              </w:rPr>
              <w:t>专业能力</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LO21 具有专业所需的人文科学素养。</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LO22 健康评估能力：能全面评估老年人的身心、社会及精神方面的健康状态，具有健康监测、健康风险评估能力。</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Times New Roman" w:hAnsi="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LO23 养老服务能力：能应用政策法规管理老年事务，以社会工作专业视角及运用专业知识为老年人服务。</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LO24 批判性思维能力：有质疑精神，具有初步运用辩证思维和决策的能力，能进行逻辑的分析与批判，以保证安全有效的专业实践。</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LO25 健康教育能力：能确定老年人的健康需求，并采用合适的健康教育策略。</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Times New Roman" w:hAnsi="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 xml:space="preserve">LO26 </w:t>
            </w:r>
            <w:r>
              <w:rPr>
                <w:rFonts w:hint="eastAsia" w:ascii="仿宋" w:hAnsi="仿宋" w:eastAsia="仿宋"/>
                <w:color w:val="000000"/>
                <w:lang w:val="en-US" w:eastAsia="zh-CN"/>
              </w:rPr>
              <w:t>协</w:t>
            </w:r>
            <w:r>
              <w:rPr>
                <w:rFonts w:hint="eastAsia" w:ascii="仿宋" w:hAnsi="仿宋" w:eastAsia="仿宋"/>
                <w:color w:val="000000"/>
              </w:rPr>
              <w:t>调管理能力：能协调工作中的各种人际关系,进行老年活动策划、组织老年事务管理。</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LO3</w:t>
            </w:r>
          </w:p>
          <w:p>
            <w:pPr>
              <w:adjustRightInd w:val="0"/>
              <w:snapToGrid w:val="0"/>
              <w:spacing w:line="264" w:lineRule="auto"/>
              <w:outlineLvl w:val="1"/>
              <w:rPr>
                <w:rFonts w:ascii="宋体" w:hAnsi="宋体"/>
                <w:color w:val="000000"/>
              </w:rPr>
            </w:pPr>
            <w:r>
              <w:rPr>
                <w:rFonts w:hint="eastAsia" w:ascii="仿宋" w:hAnsi="仿宋" w:eastAsia="仿宋" w:cs="宋体"/>
                <w:color w:val="000000"/>
                <w:kern w:val="0"/>
              </w:rPr>
              <w:t>表达沟通</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LO31倾听他人意见、尊重他人观点、分析他人需求。</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LO32应用书面或口头形式，阐释自己的观点，有效沟通。</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LO4</w:t>
            </w:r>
          </w:p>
          <w:p>
            <w:pPr>
              <w:adjustRightInd w:val="0"/>
              <w:snapToGrid w:val="0"/>
              <w:spacing w:line="264" w:lineRule="auto"/>
              <w:outlineLvl w:val="1"/>
              <w:rPr>
                <w:rFonts w:ascii="宋体" w:hAnsi="宋体"/>
                <w:color w:val="000000"/>
              </w:rPr>
            </w:pPr>
            <w:r>
              <w:rPr>
                <w:rFonts w:hint="eastAsia" w:ascii="仿宋" w:hAnsi="仿宋" w:eastAsia="仿宋" w:cs="宋体"/>
                <w:color w:val="000000"/>
                <w:kern w:val="0"/>
              </w:rPr>
              <w:t xml:space="preserve">自主学习 </w:t>
            </w:r>
            <w:r>
              <w:rPr>
                <w:rFonts w:hint="eastAsia" w:ascii="宋体" w:hAnsi="宋体"/>
                <w:color w:val="000000"/>
              </w:rPr>
              <w:t xml:space="preserve"> </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L041 能根据需要确定学习目标，并设计学习计划。</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L042 能搜集、获取达到目标所需要的学习资源，实施学习计划、反思学习计划、持续改进，达到学习目标。</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LO5</w:t>
            </w:r>
          </w:p>
          <w:p>
            <w:pPr>
              <w:adjustRightInd w:val="0"/>
              <w:snapToGrid w:val="0"/>
              <w:spacing w:line="264" w:lineRule="auto"/>
              <w:outlineLvl w:val="1"/>
              <w:rPr>
                <w:rFonts w:ascii="宋体" w:hAnsi="宋体"/>
                <w:color w:val="000000"/>
              </w:rPr>
            </w:pPr>
            <w:r>
              <w:rPr>
                <w:rFonts w:hint="eastAsia" w:ascii="宋体" w:hAnsi="宋体"/>
                <w:color w:val="000000"/>
              </w:rPr>
              <w:t>健康发展</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LO51身体健康，具有良好的卫生习惯，积极参加体育活动。</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LO52心理健康，学习和参与心理调适各项活动，耐挫折，能承受学习和生活中的压力。</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LO53 懂得审美，有发现美、感受美、鉴赏美、评价美、创造美的能力。</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LO54 热爱劳动，具有正确的劳动观念和态度，热爱劳动和劳动人民，养成劳动习惯。</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LO55 持续发展，具有爱护环境的意识，与自然和谐相处的环保理念与行动；具备终生学习的意识和能力。</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LO6</w:t>
            </w:r>
          </w:p>
          <w:p>
            <w:pPr>
              <w:adjustRightInd w:val="0"/>
              <w:snapToGrid w:val="0"/>
              <w:spacing w:line="264" w:lineRule="auto"/>
              <w:outlineLvl w:val="1"/>
              <w:rPr>
                <w:rFonts w:ascii="宋体" w:hAnsi="宋体"/>
                <w:color w:val="000000"/>
              </w:rPr>
            </w:pPr>
            <w:r>
              <w:rPr>
                <w:rFonts w:hint="eastAsia" w:ascii="宋体" w:hAnsi="宋体"/>
                <w:color w:val="000000"/>
              </w:rPr>
              <w:t>协同创新</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LO61在集体活动中能主动担任自己的角色，与其他成员密切合作，善于自我管理和团队管理，共同完成任务。</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LO62有质疑精神，能有逻辑的分析与批判。</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LO63 能用创新的方法或者多种方法解决复杂问题或真实问题。</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Times New Roman" w:hAnsi="Times New Roman"/>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LO64 了解行业前沿知识技术。</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LO7</w:t>
            </w:r>
          </w:p>
          <w:p>
            <w:pPr>
              <w:adjustRightInd w:val="0"/>
              <w:snapToGrid w:val="0"/>
              <w:spacing w:line="264" w:lineRule="auto"/>
              <w:outlineLvl w:val="1"/>
              <w:rPr>
                <w:rFonts w:ascii="宋体" w:hAnsi="宋体"/>
                <w:color w:val="000000"/>
              </w:rPr>
            </w:pPr>
            <w:r>
              <w:rPr>
                <w:rFonts w:hint="eastAsia" w:ascii="宋体" w:hAnsi="宋体"/>
                <w:color w:val="000000"/>
              </w:rPr>
              <w:t>信息应用</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LO71 能够根据需要进行专业文献检索。</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仿宋" w:hAnsi="仿宋" w:eastAsia="仿宋" w:cs="宋体"/>
                <w:color w:val="000000"/>
                <w:kern w:val="0"/>
                <w:sz w:val="24"/>
                <w:szCs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LO72 能够使用适合的工具来搜集信息，并对信息加以分析、鉴别、判断与整合。</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rPr>
            </w:pPr>
            <w:r>
              <w:rPr>
                <w:rFonts w:hint="eastAsia" w:ascii="仿宋" w:hAnsi="仿宋" w:eastAsia="仿宋"/>
                <w:color w:val="000000"/>
              </w:rPr>
              <w:t>LO73 熟练使用计算机，掌握常用办公软件。</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r>
              <w:rPr>
                <w:rFonts w:ascii="仿宋" w:hAnsi="仿宋" w:eastAsia="仿宋" w:cs="宋体"/>
                <w:color w:val="000000"/>
                <w:kern w:val="0"/>
                <w:sz w:val="24"/>
                <w:szCs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13"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rPr>
            </w:pPr>
            <w:r>
              <w:rPr>
                <w:rFonts w:hint="eastAsia" w:ascii="仿宋" w:hAnsi="仿宋" w:eastAsia="仿宋" w:cs="宋体"/>
                <w:color w:val="000000"/>
                <w:kern w:val="0"/>
              </w:rPr>
              <w:t>LO8</w:t>
            </w:r>
          </w:p>
          <w:p>
            <w:pPr>
              <w:adjustRightInd w:val="0"/>
              <w:snapToGrid w:val="0"/>
              <w:spacing w:line="264" w:lineRule="auto"/>
              <w:outlineLvl w:val="1"/>
              <w:rPr>
                <w:rFonts w:ascii="宋体" w:hAnsi="宋体"/>
                <w:color w:val="000000"/>
              </w:rPr>
            </w:pPr>
            <w:r>
              <w:rPr>
                <w:rFonts w:hint="eastAsia" w:ascii="仿宋" w:hAnsi="仿宋" w:eastAsia="仿宋" w:cs="宋体"/>
                <w:color w:val="000000"/>
                <w:kern w:val="0"/>
              </w:rPr>
              <w:t>国际视野</w:t>
            </w: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LO81 具备外语表达沟通能力，达到本专业的要求。</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LO82 理解其他国家历史文化，有跨文化交流能力。</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6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olor w:val="000000"/>
              </w:rPr>
            </w:pPr>
            <w:r>
              <w:rPr>
                <w:rFonts w:hint="eastAsia" w:ascii="仿宋" w:hAnsi="仿宋" w:eastAsia="仿宋"/>
                <w:color w:val="000000"/>
              </w:rPr>
              <w:t>LO83 有国际竞争与合作意识。</w:t>
            </w:r>
          </w:p>
        </w:tc>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宋体" w:hAnsi="宋体"/>
                <w:color w:val="000000"/>
                <w:sz w:val="20"/>
                <w:szCs w:val="20"/>
              </w:rPr>
            </w:pPr>
          </w:p>
        </w:tc>
      </w:tr>
    </w:tbl>
    <w:p>
      <w:pPr>
        <w:ind w:firstLine="420" w:firstLineChars="200"/>
      </w:pPr>
    </w:p>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3402"/>
        <w:gridCol w:w="14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shd w:val="clear" w:color="auto" w:fill="auto"/>
          </w:tcPr>
          <w:p>
            <w:pPr>
              <w:rPr>
                <w:b/>
                <w:bCs/>
              </w:rPr>
            </w:pPr>
            <w:r>
              <w:rPr>
                <w:rFonts w:hint="eastAsia"/>
                <w:b/>
                <w:bCs/>
              </w:rPr>
              <w:t>序号</w:t>
            </w:r>
          </w:p>
        </w:tc>
        <w:tc>
          <w:tcPr>
            <w:tcW w:w="1134" w:type="dxa"/>
            <w:shd w:val="clear" w:color="auto" w:fill="auto"/>
          </w:tcPr>
          <w:p>
            <w:pPr>
              <w:rPr>
                <w:b/>
                <w:bCs/>
              </w:rPr>
            </w:pPr>
            <w:r>
              <w:rPr>
                <w:rFonts w:hint="eastAsia"/>
                <w:b/>
                <w:bCs/>
              </w:rPr>
              <w:t>课程预期</w:t>
            </w:r>
          </w:p>
          <w:p>
            <w:pPr>
              <w:rPr>
                <w:b/>
                <w:bCs/>
              </w:rPr>
            </w:pPr>
            <w:r>
              <w:rPr>
                <w:rFonts w:hint="eastAsia"/>
                <w:b/>
                <w:bCs/>
              </w:rPr>
              <w:t>学习成果</w:t>
            </w:r>
          </w:p>
        </w:tc>
        <w:tc>
          <w:tcPr>
            <w:tcW w:w="3402" w:type="dxa"/>
            <w:shd w:val="clear" w:color="auto" w:fill="auto"/>
            <w:vAlign w:val="center"/>
          </w:tcPr>
          <w:p>
            <w:pPr>
              <w:rPr>
                <w:b/>
                <w:bCs/>
                <w:highlight w:val="yellow"/>
              </w:rPr>
            </w:pPr>
            <w:r>
              <w:rPr>
                <w:rFonts w:hint="eastAsia"/>
                <w:b/>
                <w:bCs/>
              </w:rPr>
              <w:t>课程目标</w:t>
            </w:r>
          </w:p>
          <w:p>
            <w:pPr>
              <w:rPr>
                <w:b/>
                <w:bCs/>
              </w:rPr>
            </w:pPr>
            <w:r>
              <w:rPr>
                <w:rFonts w:hint="eastAsia"/>
                <w:b/>
                <w:bCs/>
              </w:rPr>
              <w:t>（细化的预期学习成果）</w:t>
            </w:r>
          </w:p>
        </w:tc>
        <w:tc>
          <w:tcPr>
            <w:tcW w:w="1422" w:type="dxa"/>
            <w:shd w:val="clear" w:color="auto" w:fill="auto"/>
            <w:vAlign w:val="center"/>
          </w:tcPr>
          <w:p>
            <w:pPr>
              <w:rPr>
                <w:b/>
                <w:bCs/>
              </w:rPr>
            </w:pPr>
            <w:r>
              <w:rPr>
                <w:rFonts w:hint="eastAsia"/>
                <w:b/>
                <w:bCs/>
              </w:rPr>
              <w:t>教与学方式</w:t>
            </w:r>
          </w:p>
        </w:tc>
        <w:tc>
          <w:tcPr>
            <w:tcW w:w="1276" w:type="dxa"/>
            <w:shd w:val="clear" w:color="auto" w:fill="auto"/>
            <w:vAlign w:val="center"/>
          </w:tcPr>
          <w:p>
            <w:pPr>
              <w:rPr>
                <w:b/>
                <w:bCs/>
              </w:rPr>
            </w:pPr>
            <w:r>
              <w:rPr>
                <w:rFonts w:hint="eastAsia"/>
                <w:b/>
                <w:bCs/>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shd w:val="clear" w:color="auto" w:fill="auto"/>
          </w:tcPr>
          <w:p>
            <w:r>
              <w:rPr>
                <w:rFonts w:hint="eastAsia"/>
              </w:rPr>
              <w:t>1</w:t>
            </w:r>
          </w:p>
        </w:tc>
        <w:tc>
          <w:tcPr>
            <w:tcW w:w="1134" w:type="dxa"/>
            <w:shd w:val="clear" w:color="auto" w:fill="auto"/>
            <w:vAlign w:val="center"/>
          </w:tcPr>
          <w:p>
            <w:r>
              <w:rPr>
                <w:rFonts w:hint="eastAsia"/>
              </w:rPr>
              <w:t>LO1</w:t>
            </w:r>
            <w:r>
              <w:t>5</w:t>
            </w:r>
          </w:p>
        </w:tc>
        <w:tc>
          <w:tcPr>
            <w:tcW w:w="3402" w:type="dxa"/>
            <w:shd w:val="clear" w:color="auto" w:fill="auto"/>
          </w:tcPr>
          <w:p>
            <w:r>
              <w:rPr>
                <w:rFonts w:hint="eastAsia"/>
              </w:rPr>
              <w:t>了解信息检索职业规范。培养信息共享与版权保护意识；养成负责任的使用信息资源的习惯</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shd w:val="clear" w:color="auto" w:fill="auto"/>
          </w:tcPr>
          <w:p>
            <w:r>
              <w:rPr>
                <w:rFonts w:hint="eastAsia"/>
              </w:rPr>
              <w:t>2</w:t>
            </w:r>
          </w:p>
        </w:tc>
        <w:tc>
          <w:tcPr>
            <w:tcW w:w="1134" w:type="dxa"/>
            <w:vMerge w:val="restart"/>
            <w:shd w:val="clear" w:color="auto" w:fill="auto"/>
          </w:tcPr>
          <w:p>
            <w:r>
              <w:rPr>
                <w:rFonts w:hint="eastAsia"/>
              </w:rPr>
              <w:t>LO</w:t>
            </w:r>
            <w:r>
              <w:t>71</w:t>
            </w:r>
          </w:p>
        </w:tc>
        <w:tc>
          <w:tcPr>
            <w:tcW w:w="3402" w:type="dxa"/>
            <w:shd w:val="clear" w:color="auto" w:fill="auto"/>
          </w:tcPr>
          <w:p>
            <w:r>
              <w:rPr>
                <w:rFonts w:hint="eastAsia"/>
              </w:rPr>
              <w:t>1.熟悉医学信息的基本概念、类型、特点、功能及分布规律。</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shd w:val="clear" w:color="auto" w:fill="auto"/>
          </w:tcPr>
          <w:p/>
        </w:tc>
        <w:tc>
          <w:tcPr>
            <w:tcW w:w="1134" w:type="dxa"/>
            <w:vMerge w:val="continue"/>
            <w:shd w:val="clear" w:color="auto" w:fill="auto"/>
          </w:tcPr>
          <w:p/>
        </w:tc>
        <w:tc>
          <w:tcPr>
            <w:tcW w:w="3402" w:type="dxa"/>
            <w:shd w:val="clear" w:color="auto" w:fill="auto"/>
          </w:tcPr>
          <w:p>
            <w:r>
              <w:rPr>
                <w:rFonts w:hint="eastAsia"/>
              </w:rPr>
              <w:t>2.掌握信息检索的基本概念、原理，文献信息检索系统的构成、检索技术、评价标准体系</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shd w:val="clear" w:color="auto" w:fill="auto"/>
          </w:tcPr>
          <w:p/>
        </w:tc>
        <w:tc>
          <w:tcPr>
            <w:tcW w:w="1134" w:type="dxa"/>
            <w:vMerge w:val="continue"/>
            <w:shd w:val="clear" w:color="auto" w:fill="auto"/>
          </w:tcPr>
          <w:p/>
        </w:tc>
        <w:tc>
          <w:tcPr>
            <w:tcW w:w="3402" w:type="dxa"/>
            <w:shd w:val="clear" w:color="auto" w:fill="auto"/>
          </w:tcPr>
          <w:p>
            <w:r>
              <w:rPr>
                <w:rFonts w:hint="eastAsia"/>
              </w:rPr>
              <w:t>3.通过</w:t>
            </w:r>
            <w:r>
              <w:t>文献信息的查找、筛选、鉴别、利用过程，体会蕴含其中的信息智慧之涵义以及作为科学素养之重要组成部分的信息素质的重要意义</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检索报告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shd w:val="clear" w:color="auto" w:fill="auto"/>
          </w:tcPr>
          <w:p>
            <w:r>
              <w:rPr>
                <w:rFonts w:hint="eastAsia"/>
              </w:rPr>
              <w:t>3</w:t>
            </w:r>
          </w:p>
        </w:tc>
        <w:tc>
          <w:tcPr>
            <w:tcW w:w="1134" w:type="dxa"/>
            <w:vMerge w:val="restart"/>
            <w:shd w:val="clear" w:color="auto" w:fill="auto"/>
          </w:tcPr>
          <w:p>
            <w:r>
              <w:rPr>
                <w:rFonts w:hint="eastAsia"/>
              </w:rPr>
              <w:t>LO</w:t>
            </w:r>
            <w:r>
              <w:t>73</w:t>
            </w:r>
          </w:p>
        </w:tc>
        <w:tc>
          <w:tcPr>
            <w:tcW w:w="3402" w:type="dxa"/>
            <w:shd w:val="clear" w:color="auto" w:fill="auto"/>
          </w:tcPr>
          <w:p>
            <w:r>
              <w:rPr>
                <w:rFonts w:hint="eastAsia"/>
              </w:rPr>
              <w:t>1.要求学生掌握多种计算机信息检索技术，并能在上机实训中灵活运用</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检索报告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shd w:val="clear" w:color="auto" w:fill="auto"/>
          </w:tcPr>
          <w:p/>
        </w:tc>
        <w:tc>
          <w:tcPr>
            <w:tcW w:w="1134" w:type="dxa"/>
            <w:vMerge w:val="continue"/>
            <w:shd w:val="clear" w:color="auto" w:fill="auto"/>
          </w:tcPr>
          <w:p/>
        </w:tc>
        <w:tc>
          <w:tcPr>
            <w:tcW w:w="3402" w:type="dxa"/>
            <w:shd w:val="clear" w:color="auto" w:fill="auto"/>
          </w:tcPr>
          <w:p>
            <w:r>
              <w:rPr>
                <w:rFonts w:hint="eastAsia"/>
              </w:rPr>
              <w:t>2.学会对图书馆实体资源及电子资源的检索，利用办公软件进行资源整合</w:t>
            </w:r>
          </w:p>
        </w:tc>
        <w:tc>
          <w:tcPr>
            <w:tcW w:w="1422" w:type="dxa"/>
            <w:shd w:val="clear" w:color="auto" w:fill="auto"/>
          </w:tcPr>
          <w:p>
            <w:r>
              <w:rPr>
                <w:rFonts w:hint="eastAsia"/>
              </w:rPr>
              <w:t>讲授</w:t>
            </w:r>
          </w:p>
          <w:p>
            <w:r>
              <w:rPr>
                <w:rFonts w:hint="eastAsia"/>
              </w:rPr>
              <w:t>自主练习</w:t>
            </w:r>
          </w:p>
        </w:tc>
        <w:tc>
          <w:tcPr>
            <w:tcW w:w="1276" w:type="dxa"/>
            <w:shd w:val="clear" w:color="auto" w:fill="auto"/>
          </w:tcPr>
          <w:p>
            <w:r>
              <w:rPr>
                <w:rFonts w:hint="eastAsia"/>
              </w:rPr>
              <w:t>检索报告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rPr>
          <w:b/>
          <w:bCs/>
        </w:rPr>
      </w:pPr>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268"/>
        <w:gridCol w:w="2381"/>
        <w:gridCol w:w="1588"/>
        <w:gridCol w:w="1276"/>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noWrap/>
          </w:tcPr>
          <w:p>
            <w:pPr>
              <w:jc w:val="center"/>
              <w:rPr>
                <w:b/>
                <w:bCs/>
              </w:rPr>
            </w:pPr>
            <w:r>
              <w:rPr>
                <w:rFonts w:hint="eastAsia"/>
                <w:b/>
                <w:bCs/>
              </w:rPr>
              <w:t>单元</w:t>
            </w:r>
          </w:p>
        </w:tc>
        <w:tc>
          <w:tcPr>
            <w:tcW w:w="2268" w:type="dxa"/>
            <w:noWrap/>
          </w:tcPr>
          <w:p>
            <w:pPr>
              <w:jc w:val="center"/>
              <w:rPr>
                <w:b/>
                <w:bCs/>
              </w:rPr>
            </w:pPr>
            <w:r>
              <w:rPr>
                <w:rFonts w:hint="eastAsia"/>
                <w:b/>
                <w:bCs/>
              </w:rPr>
              <w:t>知识点</w:t>
            </w:r>
          </w:p>
        </w:tc>
        <w:tc>
          <w:tcPr>
            <w:tcW w:w="2381" w:type="dxa"/>
            <w:noWrap/>
          </w:tcPr>
          <w:p>
            <w:pPr>
              <w:jc w:val="center"/>
              <w:rPr>
                <w:b/>
                <w:bCs/>
              </w:rPr>
            </w:pPr>
            <w:r>
              <w:rPr>
                <w:rFonts w:hint="eastAsia"/>
                <w:b/>
                <w:bCs/>
              </w:rPr>
              <w:t>能力要求</w:t>
            </w:r>
          </w:p>
        </w:tc>
        <w:tc>
          <w:tcPr>
            <w:tcW w:w="1588" w:type="dxa"/>
            <w:vAlign w:val="center"/>
          </w:tcPr>
          <w:p>
            <w:pPr>
              <w:jc w:val="center"/>
              <w:rPr>
                <w:b/>
                <w:bCs/>
              </w:rPr>
            </w:pPr>
            <w:r>
              <w:rPr>
                <w:rFonts w:hint="eastAsia"/>
                <w:b/>
                <w:bCs/>
              </w:rPr>
              <w:t>情感目标</w:t>
            </w:r>
          </w:p>
        </w:tc>
        <w:tc>
          <w:tcPr>
            <w:tcW w:w="1276" w:type="dxa"/>
            <w:vAlign w:val="center"/>
          </w:tcPr>
          <w:p>
            <w:pPr>
              <w:jc w:val="center"/>
              <w:rPr>
                <w:b/>
                <w:bCs/>
              </w:rPr>
            </w:pPr>
            <w:r>
              <w:rPr>
                <w:b/>
                <w:bCs/>
              </w:rPr>
              <w:t>教学难点</w:t>
            </w:r>
          </w:p>
        </w:tc>
        <w:tc>
          <w:tcPr>
            <w:tcW w:w="425" w:type="dxa"/>
            <w:vAlign w:val="center"/>
          </w:tcPr>
          <w:p>
            <w:pPr>
              <w:jc w:val="center"/>
              <w:rPr>
                <w:b/>
                <w:bCs/>
              </w:rPr>
            </w:pPr>
            <w:r>
              <w:rPr>
                <w:b/>
                <w:bCs/>
              </w:rPr>
              <w:t>理论时数</w:t>
            </w:r>
          </w:p>
        </w:tc>
        <w:tc>
          <w:tcPr>
            <w:tcW w:w="426" w:type="dxa"/>
            <w:vAlign w:val="center"/>
          </w:tcPr>
          <w:p>
            <w:pPr>
              <w:jc w:val="center"/>
              <w:rPr>
                <w:b/>
                <w:bCs/>
              </w:rPr>
            </w:pPr>
            <w:r>
              <w:rPr>
                <w:b/>
                <w:bCs/>
              </w:rPr>
              <w:t>实践时数</w:t>
            </w:r>
          </w:p>
        </w:tc>
        <w:tc>
          <w:tcPr>
            <w:tcW w:w="425" w:type="dxa"/>
            <w:vAlign w:val="center"/>
          </w:tcPr>
          <w:p>
            <w:pPr>
              <w:jc w:val="center"/>
              <w:rPr>
                <w:b/>
                <w:bCs/>
              </w:rPr>
            </w:pPr>
            <w:r>
              <w:rPr>
                <w:b/>
                <w:bCs/>
              </w:rPr>
              <w:t>总时数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62" w:type="dxa"/>
            <w:noWrap/>
          </w:tcPr>
          <w:p>
            <w:r>
              <w:rPr>
                <w:rFonts w:hint="eastAsia"/>
              </w:rPr>
              <w:t>1</w:t>
            </w:r>
          </w:p>
        </w:tc>
        <w:tc>
          <w:tcPr>
            <w:tcW w:w="2268" w:type="dxa"/>
            <w:noWrap/>
          </w:tcPr>
          <w:p>
            <w:r>
              <w:rPr>
                <w:rFonts w:hint="eastAsia"/>
              </w:rPr>
              <w:t>课程介绍及绪论</w:t>
            </w:r>
          </w:p>
          <w:p>
            <w:r>
              <w:rPr>
                <w:rFonts w:hint="eastAsia"/>
              </w:rPr>
              <w:t>掌握信息的含义、信息类型的划分、信息的特征与功能、信息与知识、医学信息学的研究对象和研究领域、医学信息学教育的内容。</w:t>
            </w:r>
          </w:p>
          <w:p/>
          <w:p/>
        </w:tc>
        <w:tc>
          <w:tcPr>
            <w:tcW w:w="2381" w:type="dxa"/>
          </w:tcPr>
          <w:p>
            <w:r>
              <w:rPr>
                <w:rFonts w:hint="eastAsia"/>
              </w:rPr>
              <w:t>充分认识到本课程的学习目标及考核方式；具备信息能力和信息意识。能够说出信息素养的基本理论和概念，思路。</w:t>
            </w:r>
          </w:p>
        </w:tc>
        <w:tc>
          <w:tcPr>
            <w:tcW w:w="1588" w:type="dxa"/>
          </w:tcPr>
          <w:p>
            <w:r>
              <w:rPr>
                <w:rFonts w:hint="eastAsia"/>
              </w:rPr>
              <w:t>通过教学</w:t>
            </w:r>
            <w:r>
              <w:t>使学生从信息搜索中增强对</w:t>
            </w:r>
            <w:r>
              <w:rPr>
                <w:rFonts w:hint="eastAsia"/>
              </w:rPr>
              <w:t>信息检索课程</w:t>
            </w:r>
            <w:r>
              <w:t>的兴趣</w:t>
            </w:r>
            <w:r>
              <w:rPr>
                <w:rFonts w:hint="eastAsia"/>
              </w:rPr>
              <w:t>。</w:t>
            </w:r>
          </w:p>
        </w:tc>
        <w:tc>
          <w:tcPr>
            <w:tcW w:w="1276" w:type="dxa"/>
          </w:tcPr>
          <w:p>
            <w:r>
              <w:rPr>
                <w:rFonts w:hint="eastAsia"/>
              </w:rPr>
              <w:t>能够懂得有关信息技术使用所产生的经济、法律、社会问题</w:t>
            </w:r>
          </w:p>
        </w:tc>
        <w:tc>
          <w:tcPr>
            <w:tcW w:w="425" w:type="dxa"/>
          </w:tcPr>
          <w:p>
            <w:r>
              <w:rPr>
                <w:rFonts w:hint="eastAsia"/>
              </w:rPr>
              <w:t>1</w:t>
            </w:r>
          </w:p>
        </w:tc>
        <w:tc>
          <w:tcPr>
            <w:tcW w:w="426" w:type="dxa"/>
          </w:tcPr>
          <w:p>
            <w:r>
              <w:rPr>
                <w:rFonts w:hint="eastAsia"/>
              </w:rPr>
              <w:t>1</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62" w:type="dxa"/>
            <w:noWrap/>
          </w:tcPr>
          <w:p>
            <w:r>
              <w:rPr>
                <w:rFonts w:hint="eastAsia"/>
              </w:rPr>
              <w:t>2</w:t>
            </w:r>
          </w:p>
        </w:tc>
        <w:tc>
          <w:tcPr>
            <w:tcW w:w="2268" w:type="dxa"/>
            <w:noWrap/>
          </w:tcPr>
          <w:p>
            <w:r>
              <w:rPr>
                <w:rFonts w:hint="eastAsia"/>
              </w:rPr>
              <w:t>信息检索基础</w:t>
            </w:r>
          </w:p>
          <w:p>
            <w:r>
              <w:rPr>
                <w:rFonts w:hint="eastAsia"/>
              </w:rPr>
              <w:t>理解信息和信息资源的概念、特点和 分类;信息检索的原理、类型、 语言、途径和效果评价; 知道信息检索系统的构成和功能;数据库的类型和结构以及信息检索技术等内容。</w:t>
            </w:r>
          </w:p>
        </w:tc>
        <w:tc>
          <w:tcPr>
            <w:tcW w:w="2381" w:type="dxa"/>
          </w:tcPr>
          <w:p>
            <w:r>
              <w:rPr>
                <w:rFonts w:hint="eastAsia"/>
              </w:rPr>
              <w:t xml:space="preserve">能够说出文献信息检索的基本概念、原理，文献信息检索系统的构成、检索技术 </w:t>
            </w:r>
          </w:p>
        </w:tc>
        <w:tc>
          <w:tcPr>
            <w:tcW w:w="1588" w:type="dxa"/>
          </w:tcPr>
          <w:p>
            <w:r>
              <w:t>培养</w:t>
            </w:r>
            <w:r>
              <w:rPr>
                <w:rFonts w:hint="eastAsia"/>
              </w:rPr>
              <w:t>学生</w:t>
            </w:r>
            <w:r>
              <w:t>辨别信息搜索的结果的能力，形成良好应用计算机进行信息搜索的行为习惯，使学生产生通过优化搜索获取信息的强烈愿望。</w:t>
            </w:r>
          </w:p>
        </w:tc>
        <w:tc>
          <w:tcPr>
            <w:tcW w:w="1276" w:type="dxa"/>
          </w:tcPr>
          <w:p>
            <w:r>
              <w:rPr>
                <w:rFonts w:hint="eastAsia"/>
              </w:rPr>
              <w:t>信息检索类型的划分方法</w:t>
            </w:r>
          </w:p>
        </w:tc>
        <w:tc>
          <w:tcPr>
            <w:tcW w:w="425" w:type="dxa"/>
          </w:tcPr>
          <w:p>
            <w:r>
              <w:t>1</w:t>
            </w:r>
          </w:p>
        </w:tc>
        <w:tc>
          <w:tcPr>
            <w:tcW w:w="426" w:type="dxa"/>
          </w:tcPr>
          <w:p>
            <w:r>
              <w:rPr>
                <w:rFonts w:hint="eastAsia"/>
              </w:rPr>
              <w:t>3</w:t>
            </w:r>
          </w:p>
        </w:tc>
        <w:tc>
          <w:tcPr>
            <w:tcW w:w="425" w:type="dxa"/>
          </w:tcPr>
          <w:p>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62" w:type="dxa"/>
            <w:noWrap/>
          </w:tcPr>
          <w:p>
            <w:r>
              <w:rPr>
                <w:rFonts w:hint="eastAsia"/>
              </w:rPr>
              <w:t>3</w:t>
            </w:r>
          </w:p>
        </w:tc>
        <w:tc>
          <w:tcPr>
            <w:tcW w:w="2268" w:type="dxa"/>
            <w:noWrap/>
          </w:tcPr>
          <w:p>
            <w:r>
              <w:rPr>
                <w:rFonts w:hint="eastAsia"/>
              </w:rPr>
              <w:t>国内外知名数据库</w:t>
            </w:r>
          </w:p>
          <w:p>
            <w:r>
              <w:rPr>
                <w:rFonts w:hint="eastAsia"/>
              </w:rPr>
              <w:t>了解常用的生物医学文摘型数据库、全文型数据库、引文数据库；学会独立进行检索。</w:t>
            </w:r>
          </w:p>
        </w:tc>
        <w:tc>
          <w:tcPr>
            <w:tcW w:w="2381" w:type="dxa"/>
          </w:tcPr>
          <w:p>
            <w:r>
              <w:rPr>
                <w:rFonts w:hint="eastAsia"/>
              </w:rPr>
              <w:t>能够运用各类型数据库，熟练使用各种医学及相关学科专业文献检索工具、数据库的特点和检索方法，以及网络医学资源的分布及利用方法</w:t>
            </w:r>
          </w:p>
        </w:tc>
        <w:tc>
          <w:tcPr>
            <w:tcW w:w="1588" w:type="dxa"/>
          </w:tcPr>
          <w:p>
            <w:r>
              <w:rPr>
                <w:rFonts w:hint="eastAsia"/>
              </w:rPr>
              <w:t>培养学生事实求是，以科学为依据的学习和工作态度</w:t>
            </w:r>
          </w:p>
        </w:tc>
        <w:tc>
          <w:tcPr>
            <w:tcW w:w="1276" w:type="dxa"/>
          </w:tcPr>
          <w:p>
            <w:r>
              <w:rPr>
                <w:rFonts w:hint="eastAsia"/>
              </w:rPr>
              <w:t>各种数据库的界面规则</w:t>
            </w:r>
          </w:p>
        </w:tc>
        <w:tc>
          <w:tcPr>
            <w:tcW w:w="425" w:type="dxa"/>
          </w:tcPr>
          <w:p>
            <w:r>
              <w:t>0</w:t>
            </w:r>
          </w:p>
        </w:tc>
        <w:tc>
          <w:tcPr>
            <w:tcW w:w="426" w:type="dxa"/>
          </w:tcPr>
          <w:p>
            <w:r>
              <w:t>2</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noWrap/>
          </w:tcPr>
          <w:p>
            <w:pPr>
              <w:rPr>
                <w:rFonts w:hint="eastAsia"/>
              </w:rPr>
            </w:pPr>
            <w:r>
              <w:rPr>
                <w:rFonts w:hint="eastAsia"/>
              </w:rPr>
              <w:t>4</w:t>
            </w:r>
          </w:p>
        </w:tc>
        <w:tc>
          <w:tcPr>
            <w:tcW w:w="2268" w:type="dxa"/>
            <w:noWrap/>
          </w:tcPr>
          <w:p>
            <w:r>
              <w:rPr>
                <w:rFonts w:hint="eastAsia"/>
              </w:rPr>
              <w:t>特种文献资源</w:t>
            </w:r>
          </w:p>
          <w:p>
            <w:pPr>
              <w:rPr>
                <w:rFonts w:hint="eastAsia"/>
              </w:rPr>
            </w:pPr>
            <w:r>
              <w:rPr>
                <w:rFonts w:hint="eastAsia"/>
              </w:rPr>
              <w:t>学会判断不同类别文献；掌握不同类别文献特征。</w:t>
            </w:r>
          </w:p>
        </w:tc>
        <w:tc>
          <w:tcPr>
            <w:tcW w:w="2381" w:type="dxa"/>
          </w:tcPr>
          <w:p>
            <w:pPr>
              <w:rPr>
                <w:rFonts w:hint="eastAsia"/>
              </w:rPr>
            </w:pPr>
            <w:r>
              <w:t>能够灵活分辨不同的文献类型,并能够根据不同类型文献的特征来分析自己的检索需求,设计检索策略。</w:t>
            </w:r>
          </w:p>
        </w:tc>
        <w:tc>
          <w:tcPr>
            <w:tcW w:w="1588" w:type="dxa"/>
          </w:tcPr>
          <w:p>
            <w:pPr>
              <w:rPr>
                <w:rFonts w:hint="eastAsia"/>
              </w:rPr>
            </w:pPr>
            <w:r>
              <w:rPr>
                <w:rFonts w:hint="eastAsia"/>
              </w:rPr>
              <w:t>培养学生</w:t>
            </w:r>
            <w:r>
              <w:t>自主学习</w:t>
            </w:r>
            <w:r>
              <w:rPr>
                <w:rFonts w:hint="eastAsia"/>
              </w:rPr>
              <w:t>能力</w:t>
            </w:r>
            <w:r>
              <w:t>，为终身学习打好基础。</w:t>
            </w:r>
          </w:p>
        </w:tc>
        <w:tc>
          <w:tcPr>
            <w:tcW w:w="1276" w:type="dxa"/>
          </w:tcPr>
          <w:p>
            <w:pPr>
              <w:rPr>
                <w:rFonts w:hint="eastAsia"/>
              </w:rPr>
            </w:pPr>
            <w:r>
              <w:rPr>
                <w:rFonts w:hint="eastAsia"/>
              </w:rPr>
              <w:t>学会在学习和科学研究中充分利用专利、标准、会议、学位论文等文献信息</w:t>
            </w:r>
          </w:p>
        </w:tc>
        <w:tc>
          <w:tcPr>
            <w:tcW w:w="425" w:type="dxa"/>
          </w:tcPr>
          <w:p>
            <w:r>
              <w:rPr>
                <w:rFonts w:hint="eastAsia"/>
              </w:rPr>
              <w:t>0</w:t>
            </w:r>
          </w:p>
        </w:tc>
        <w:tc>
          <w:tcPr>
            <w:tcW w:w="426" w:type="dxa"/>
          </w:tcPr>
          <w:p>
            <w:r>
              <w:rPr>
                <w:rFonts w:hint="eastAsia"/>
              </w:rPr>
              <w:t>2</w:t>
            </w:r>
          </w:p>
        </w:tc>
        <w:tc>
          <w:tcPr>
            <w:tcW w:w="425" w:type="dxa"/>
          </w:tcPr>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noWrap/>
          </w:tcPr>
          <w:p>
            <w:r>
              <w:t>5</w:t>
            </w:r>
          </w:p>
        </w:tc>
        <w:tc>
          <w:tcPr>
            <w:tcW w:w="2268" w:type="dxa"/>
            <w:noWrap/>
          </w:tcPr>
          <w:p>
            <w:r>
              <w:rPr>
                <w:rFonts w:hint="eastAsia"/>
              </w:rPr>
              <w:t>学术论文写作及发表</w:t>
            </w:r>
          </w:p>
          <w:p>
            <w:r>
              <w:rPr>
                <w:rFonts w:hint="eastAsia"/>
              </w:rPr>
              <w:t>了解学术论文的分类及撰写方法；</w:t>
            </w:r>
          </w:p>
          <w:p>
            <w:pPr>
              <w:rPr>
                <w:rFonts w:hint="eastAsia"/>
              </w:rPr>
            </w:pPr>
            <w:r>
              <w:rPr>
                <w:rFonts w:hint="eastAsia"/>
              </w:rPr>
              <w:t>了解学术论文的投稿流程</w:t>
            </w:r>
          </w:p>
        </w:tc>
        <w:tc>
          <w:tcPr>
            <w:tcW w:w="2381" w:type="dxa"/>
          </w:tcPr>
          <w:p>
            <w:pPr>
              <w:rPr>
                <w:rFonts w:hint="eastAsia"/>
              </w:rPr>
            </w:pPr>
            <w:r>
              <w:rPr>
                <w:rFonts w:hint="eastAsia"/>
              </w:rPr>
              <w:t>能够根据论文写作模板，搭建论文架构，完成初稿</w:t>
            </w:r>
          </w:p>
        </w:tc>
        <w:tc>
          <w:tcPr>
            <w:tcW w:w="1588" w:type="dxa"/>
          </w:tcPr>
          <w:p>
            <w:r>
              <w:rPr>
                <w:rFonts w:hint="eastAsia"/>
              </w:rPr>
              <w:t>培养学生</w:t>
            </w:r>
            <w:r>
              <w:t>自主学习</w:t>
            </w:r>
            <w:r>
              <w:rPr>
                <w:rFonts w:hint="eastAsia"/>
              </w:rPr>
              <w:t>能力</w:t>
            </w:r>
            <w:r>
              <w:t>，为终身学习打好基础。</w:t>
            </w:r>
          </w:p>
        </w:tc>
        <w:tc>
          <w:tcPr>
            <w:tcW w:w="1276" w:type="dxa"/>
          </w:tcPr>
          <w:p>
            <w:r>
              <w:rPr>
                <w:rFonts w:hint="eastAsia"/>
              </w:rPr>
              <w:t>掌握不同数据库的特点</w:t>
            </w:r>
          </w:p>
        </w:tc>
        <w:tc>
          <w:tcPr>
            <w:tcW w:w="425" w:type="dxa"/>
          </w:tcPr>
          <w:p>
            <w:r>
              <w:t>0</w:t>
            </w:r>
          </w:p>
        </w:tc>
        <w:tc>
          <w:tcPr>
            <w:tcW w:w="426" w:type="dxa"/>
          </w:tcPr>
          <w:p>
            <w:r>
              <w:t>4</w:t>
            </w:r>
          </w:p>
        </w:tc>
        <w:tc>
          <w:tcPr>
            <w:tcW w:w="425" w:type="dxa"/>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62" w:type="dxa"/>
            <w:noWrap/>
          </w:tcPr>
          <w:p>
            <w:r>
              <w:t>6</w:t>
            </w:r>
          </w:p>
        </w:tc>
        <w:tc>
          <w:tcPr>
            <w:tcW w:w="2268" w:type="dxa"/>
            <w:noWrap/>
          </w:tcPr>
          <w:p>
            <w:r>
              <w:rPr>
                <w:rFonts w:hint="eastAsia"/>
              </w:rPr>
              <w:t>健康档案管理及应用</w:t>
            </w:r>
          </w:p>
          <w:p>
            <w:pPr>
              <w:rPr>
                <w:rFonts w:hint="eastAsia"/>
              </w:rPr>
            </w:pPr>
            <w:r>
              <w:rPr>
                <w:rFonts w:hint="eastAsia"/>
              </w:rPr>
              <w:t>了解档案管理工作内容、性质，具体流程</w:t>
            </w:r>
          </w:p>
        </w:tc>
        <w:tc>
          <w:tcPr>
            <w:tcW w:w="2381" w:type="dxa"/>
          </w:tcPr>
          <w:p>
            <w:pPr>
              <w:rPr>
                <w:rFonts w:hint="eastAsia"/>
              </w:rPr>
            </w:pPr>
            <w:r>
              <w:rPr>
                <w:rFonts w:hint="eastAsia"/>
              </w:rPr>
              <w:t>能够对健康档案进行收集加工、整理，了解档案工作的内容。</w:t>
            </w:r>
          </w:p>
        </w:tc>
        <w:tc>
          <w:tcPr>
            <w:tcW w:w="1588" w:type="dxa"/>
          </w:tcPr>
          <w:p>
            <w:r>
              <w:rPr>
                <w:rFonts w:hint="eastAsia"/>
              </w:rPr>
              <w:t>带领学认识健康档案员的工作</w:t>
            </w:r>
          </w:p>
        </w:tc>
        <w:tc>
          <w:tcPr>
            <w:tcW w:w="1276" w:type="dxa"/>
          </w:tcPr>
          <w:p>
            <w:r>
              <w:rPr>
                <w:rFonts w:hint="eastAsia"/>
              </w:rPr>
              <w:t>档案管理工作流程</w:t>
            </w:r>
          </w:p>
        </w:tc>
        <w:tc>
          <w:tcPr>
            <w:tcW w:w="425" w:type="dxa"/>
          </w:tcPr>
          <w:p>
            <w:r>
              <w:t>0</w:t>
            </w:r>
          </w:p>
        </w:tc>
        <w:tc>
          <w:tcPr>
            <w:tcW w:w="426" w:type="dxa"/>
          </w:tcPr>
          <w:p>
            <w:r>
              <w:t>2</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2" w:type="dxa"/>
            <w:noWrap/>
          </w:tcPr>
          <w:p>
            <w:r>
              <w:t>7</w:t>
            </w:r>
          </w:p>
        </w:tc>
        <w:tc>
          <w:tcPr>
            <w:tcW w:w="2268" w:type="dxa"/>
            <w:noWrap/>
          </w:tcPr>
          <w:p>
            <w:r>
              <w:rPr>
                <w:rFonts w:hint="eastAsia"/>
              </w:rPr>
              <w:t>询证医学及证据检索</w:t>
            </w:r>
          </w:p>
          <w:p>
            <w:pPr>
              <w:widowControl/>
            </w:pPr>
            <w:r>
              <w:rPr>
                <w:rFonts w:hint="eastAsia"/>
              </w:rPr>
              <w:t>1.掌握循证医学与医学信息交流、医学信息交流的过程、现代医学信息交流方式和网络医学信息交流。2.熟悉医学信息传播的途径、医学信息交流系统、医学信息交流的类型、医学信息与人类健康。</w:t>
            </w:r>
            <w:r>
              <w:t>3.</w:t>
            </w:r>
            <w:r>
              <w:rPr>
                <w:rFonts w:hint="eastAsia"/>
              </w:rPr>
              <w:t>了解医学信息交流在医学科学发展中的作用、医学信息交流的条件、医学信息交流的基本特征、医学信息交流的障碍。</w:t>
            </w:r>
          </w:p>
          <w:p/>
        </w:tc>
        <w:tc>
          <w:tcPr>
            <w:tcW w:w="2381" w:type="dxa"/>
          </w:tcPr>
          <w:p>
            <w:r>
              <w:rPr>
                <w:rFonts w:hint="eastAsia"/>
              </w:rPr>
              <w:t>能够掌握证据检索的步骤；掌握循证医学证据的 检索方法，特别是PubMed数据库的检索</w:t>
            </w:r>
          </w:p>
        </w:tc>
        <w:tc>
          <w:tcPr>
            <w:tcW w:w="1588" w:type="dxa"/>
            <w:vAlign w:val="center"/>
          </w:tcPr>
          <w:p>
            <w:pPr>
              <w:jc w:val="left"/>
            </w:pPr>
            <w:r>
              <w:rPr>
                <w:rFonts w:hint="eastAsia"/>
              </w:rPr>
              <w:t>作为一门新兴学科，首先要让学生们意识到循证医学的重要性，提高认识；</w:t>
            </w:r>
          </w:p>
        </w:tc>
        <w:tc>
          <w:tcPr>
            <w:tcW w:w="1276" w:type="dxa"/>
          </w:tcPr>
          <w:p>
            <w:r>
              <w:rPr>
                <w:rFonts w:hint="eastAsia"/>
              </w:rPr>
              <w:t>医学证据的获得、辨析、整理</w:t>
            </w:r>
          </w:p>
        </w:tc>
        <w:tc>
          <w:tcPr>
            <w:tcW w:w="425" w:type="dxa"/>
          </w:tcPr>
          <w:p>
            <w:r>
              <w:t>2</w:t>
            </w:r>
          </w:p>
        </w:tc>
        <w:tc>
          <w:tcPr>
            <w:tcW w:w="426" w:type="dxa"/>
          </w:tcPr>
          <w:p>
            <w:r>
              <w:rPr>
                <w:rFonts w:hint="eastAsia"/>
              </w:rPr>
              <w:t>2</w:t>
            </w:r>
          </w:p>
        </w:tc>
        <w:tc>
          <w:tcPr>
            <w:tcW w:w="425" w:type="dxa"/>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2" w:type="dxa"/>
            <w:noWrap/>
          </w:tcPr>
          <w:p>
            <w:r>
              <w:rPr>
                <w:rFonts w:hint="eastAsia"/>
              </w:rPr>
              <w:t>8</w:t>
            </w:r>
          </w:p>
        </w:tc>
        <w:tc>
          <w:tcPr>
            <w:tcW w:w="2268" w:type="dxa"/>
            <w:noWrap/>
          </w:tcPr>
          <w:p>
            <w:r>
              <w:rPr>
                <w:rFonts w:hint="eastAsia"/>
              </w:rPr>
              <w:t>图书馆信息资源利用</w:t>
            </w:r>
          </w:p>
          <w:p>
            <w:r>
              <w:rPr>
                <w:rFonts w:hint="eastAsia"/>
              </w:rPr>
              <w:t>1.了解图书馆的职能及类型, 2.掌握图书馆服务的方式和服务内容, 3.学会利用图书馆检索获取所需文献资源</w:t>
            </w:r>
          </w:p>
          <w:p/>
        </w:tc>
        <w:tc>
          <w:tcPr>
            <w:tcW w:w="2381" w:type="dxa"/>
          </w:tcPr>
          <w:p>
            <w:r>
              <w:t>了解图书馆的职能及类型</w:t>
            </w:r>
            <w:r>
              <w:rPr>
                <w:rFonts w:hint="eastAsia"/>
              </w:rPr>
              <w:t>；</w:t>
            </w:r>
            <w:r>
              <w:t>掌握图书馆服务的方式和服务内容</w:t>
            </w:r>
            <w:r>
              <w:rPr>
                <w:rFonts w:hint="eastAsia"/>
              </w:rPr>
              <w:t>；</w:t>
            </w:r>
            <w:r>
              <w:t>学会利用图书馆检索获取所需文献资源</w:t>
            </w:r>
          </w:p>
        </w:tc>
        <w:tc>
          <w:tcPr>
            <w:tcW w:w="1588" w:type="dxa"/>
            <w:vAlign w:val="center"/>
          </w:tcPr>
          <w:p>
            <w:r>
              <w:rPr>
                <w:rFonts w:hint="eastAsia"/>
              </w:rPr>
              <w:t>培养学生理论与实践相结合的能力，从而能更好的用理论来指导实践。</w:t>
            </w:r>
          </w:p>
        </w:tc>
        <w:tc>
          <w:tcPr>
            <w:tcW w:w="1276" w:type="dxa"/>
          </w:tcPr>
          <w:p>
            <w:r>
              <w:rPr>
                <w:rFonts w:hint="eastAsia"/>
              </w:rPr>
              <w:t>能应用图书馆系统进行图书馆文献资源的查找</w:t>
            </w:r>
          </w:p>
        </w:tc>
        <w:tc>
          <w:tcPr>
            <w:tcW w:w="425" w:type="dxa"/>
          </w:tcPr>
          <w:p>
            <w:r>
              <w:rPr>
                <w:rFonts w:hint="eastAsia"/>
              </w:rPr>
              <w:t>1</w:t>
            </w:r>
          </w:p>
        </w:tc>
        <w:tc>
          <w:tcPr>
            <w:tcW w:w="426" w:type="dxa"/>
          </w:tcPr>
          <w:p>
            <w:r>
              <w:rPr>
                <w:rFonts w:hint="eastAsia"/>
              </w:rPr>
              <w:t>1</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2" w:type="dxa"/>
            <w:noWrap/>
          </w:tcPr>
          <w:p>
            <w:r>
              <w:rPr>
                <w:rFonts w:hint="eastAsia"/>
              </w:rPr>
              <w:t>9</w:t>
            </w:r>
          </w:p>
        </w:tc>
        <w:tc>
          <w:tcPr>
            <w:tcW w:w="2268" w:type="dxa"/>
            <w:noWrap/>
          </w:tcPr>
          <w:p>
            <w:r>
              <w:rPr>
                <w:rFonts w:hint="eastAsia"/>
              </w:rPr>
              <w:t>网络免费学术资源</w:t>
            </w:r>
          </w:p>
          <w:p>
            <w:r>
              <w:rPr>
                <w:rFonts w:hint="eastAsia"/>
              </w:rPr>
              <w:t>了解各类学术资源在网络上的分布、特点和获取的方法</w:t>
            </w:r>
          </w:p>
        </w:tc>
        <w:tc>
          <w:tcPr>
            <w:tcW w:w="2381" w:type="dxa"/>
          </w:tcPr>
          <w:p>
            <w:r>
              <w:rPr>
                <w:rFonts w:hint="eastAsia"/>
              </w:rPr>
              <w:t>在互联网+的大数据环境下，培养学生高效率地获取有价值的医学信息资源，并对其加以整理、鉴别、研究分析</w:t>
            </w:r>
          </w:p>
        </w:tc>
        <w:tc>
          <w:tcPr>
            <w:tcW w:w="1588" w:type="dxa"/>
          </w:tcPr>
          <w:p>
            <w:r>
              <w:rPr>
                <w:rFonts w:hint="eastAsia"/>
              </w:rPr>
              <w:t>培养</w:t>
            </w:r>
            <w:r>
              <w:t>学生的阅读能力和</w:t>
            </w:r>
            <w:r>
              <w:rPr>
                <w:rFonts w:hint="eastAsia"/>
              </w:rPr>
              <w:t>检索</w:t>
            </w:r>
            <w:r>
              <w:t>能力,正确的运用</w:t>
            </w:r>
            <w:r>
              <w:rPr>
                <w:rFonts w:hint="eastAsia"/>
              </w:rPr>
              <w:t>恰当的数据库收集信息</w:t>
            </w:r>
          </w:p>
        </w:tc>
        <w:tc>
          <w:tcPr>
            <w:tcW w:w="1276" w:type="dxa"/>
          </w:tcPr>
          <w:p>
            <w:r>
              <w:rPr>
                <w:rFonts w:hint="eastAsia"/>
              </w:rPr>
              <w:t>熟悉国内常用医药信息的网站</w:t>
            </w:r>
          </w:p>
        </w:tc>
        <w:tc>
          <w:tcPr>
            <w:tcW w:w="425" w:type="dxa"/>
          </w:tcPr>
          <w:p>
            <w:r>
              <w:t>0</w:t>
            </w:r>
          </w:p>
        </w:tc>
        <w:tc>
          <w:tcPr>
            <w:tcW w:w="426" w:type="dxa"/>
          </w:tcPr>
          <w:p>
            <w:r>
              <w:rPr>
                <w:rFonts w:hint="eastAsia"/>
              </w:rPr>
              <w:t>2</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2" w:type="dxa"/>
            <w:noWrap/>
          </w:tcPr>
          <w:p>
            <w:r>
              <w:rPr>
                <w:rFonts w:hint="eastAsia"/>
              </w:rPr>
              <w:t>1</w:t>
            </w:r>
            <w:r>
              <w:t>0</w:t>
            </w:r>
          </w:p>
        </w:tc>
        <w:tc>
          <w:tcPr>
            <w:tcW w:w="2268" w:type="dxa"/>
            <w:noWrap/>
          </w:tcPr>
          <w:p>
            <w:r>
              <w:rPr>
                <w:rFonts w:hint="eastAsia"/>
              </w:rPr>
              <w:t>信息共享与知识产权</w:t>
            </w:r>
          </w:p>
          <w:p>
            <w:r>
              <w:t>1.</w:t>
            </w:r>
            <w:r>
              <w:rPr>
                <w:rFonts w:hint="eastAsia"/>
              </w:rPr>
              <w:t>了解知识产权的基本内涵；</w:t>
            </w:r>
            <w:r>
              <w:t>2.</w:t>
            </w:r>
            <w:r>
              <w:rPr>
                <w:rFonts w:hint="eastAsia"/>
              </w:rPr>
              <w:t>了解信息道德的内涵；</w:t>
            </w:r>
            <w:r>
              <w:t>3.</w:t>
            </w:r>
            <w:r>
              <w:rPr>
                <w:rFonts w:hint="eastAsia"/>
              </w:rPr>
              <w:t>负责任的使用信息资源</w:t>
            </w:r>
          </w:p>
          <w:p/>
        </w:tc>
        <w:tc>
          <w:tcPr>
            <w:tcW w:w="2381" w:type="dxa"/>
          </w:tcPr>
          <w:p>
            <w:r>
              <w:rPr>
                <w:rFonts w:hint="eastAsia"/>
              </w:rPr>
              <w:t>能够运用信息同时了解所涉及的经济，法律和社会范畴，合法和合理地获得和利用信息。</w:t>
            </w:r>
          </w:p>
        </w:tc>
        <w:tc>
          <w:tcPr>
            <w:tcW w:w="1588" w:type="dxa"/>
          </w:tcPr>
          <w:p>
            <w:r>
              <w:rPr>
                <w:rFonts w:hint="eastAsia"/>
              </w:rPr>
              <w:t>培养信息共享与版权保护意识；养成负责任的使用信息资源的习惯</w:t>
            </w:r>
          </w:p>
        </w:tc>
        <w:tc>
          <w:tcPr>
            <w:tcW w:w="1276" w:type="dxa"/>
          </w:tcPr>
          <w:p>
            <w:r>
              <w:rPr>
                <w:rFonts w:hint="eastAsia"/>
              </w:rPr>
              <w:t>说出知识产权与知识共享的关系</w:t>
            </w:r>
          </w:p>
        </w:tc>
        <w:tc>
          <w:tcPr>
            <w:tcW w:w="425" w:type="dxa"/>
          </w:tcPr>
          <w:p>
            <w:r>
              <w:rPr>
                <w:rFonts w:hint="eastAsia"/>
              </w:rPr>
              <w:t>1</w:t>
            </w:r>
          </w:p>
        </w:tc>
        <w:tc>
          <w:tcPr>
            <w:tcW w:w="426" w:type="dxa"/>
          </w:tcPr>
          <w:p>
            <w:r>
              <w:t>1</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2" w:type="dxa"/>
            <w:noWrap/>
          </w:tcPr>
          <w:p>
            <w:r>
              <w:rPr>
                <w:rFonts w:hint="eastAsia"/>
              </w:rPr>
              <w:t>1</w:t>
            </w:r>
            <w:r>
              <w:t>1</w:t>
            </w:r>
          </w:p>
        </w:tc>
        <w:tc>
          <w:tcPr>
            <w:tcW w:w="2268" w:type="dxa"/>
            <w:noWrap/>
          </w:tcPr>
          <w:p>
            <w:r>
              <w:rPr>
                <w:rFonts w:hint="eastAsia"/>
              </w:rPr>
              <w:t>医学信息管理与利用</w:t>
            </w:r>
          </w:p>
          <w:p>
            <w:r>
              <w:rPr>
                <w:rFonts w:hint="eastAsia"/>
              </w:rPr>
              <w:t>1.掌握医学信息学相关资源、信息收集的策略、信息收集的过程及影响因素。2.熟悉信息源的分类、信息收集的原则、信息收集的方法和信息收集的途径。</w:t>
            </w:r>
            <w:r>
              <w:t>3.</w:t>
            </w:r>
            <w:r>
              <w:rPr>
                <w:rFonts w:hint="eastAsia"/>
              </w:rPr>
              <w:t>了解信息收集的概念、意义、医学信息学期刊、信息政策和信息法律</w:t>
            </w:r>
          </w:p>
        </w:tc>
        <w:tc>
          <w:tcPr>
            <w:tcW w:w="2381" w:type="dxa"/>
          </w:tcPr>
          <w:p>
            <w:r>
              <w:rPr>
                <w:rFonts w:hint="eastAsia"/>
              </w:rPr>
              <w:t>能够严格评价信息及其相关资源，把所选信息融合到个人的知识库中，有效运用信息达到特定目的</w:t>
            </w:r>
          </w:p>
        </w:tc>
        <w:tc>
          <w:tcPr>
            <w:tcW w:w="1588" w:type="dxa"/>
          </w:tcPr>
          <w:p>
            <w:r>
              <w:t>掌握科研继承与创新的文献分析路径，学术选题价值及新颖性的判断方法，为科研课题的文献调研与选题做好准备。</w:t>
            </w:r>
          </w:p>
        </w:tc>
        <w:tc>
          <w:tcPr>
            <w:tcW w:w="1276" w:type="dxa"/>
          </w:tcPr>
          <w:p>
            <w:r>
              <w:rPr>
                <w:rFonts w:hint="eastAsia"/>
              </w:rPr>
              <w:t>掌握期刊分类、评价指标和评价工具；投稿平台的选择</w:t>
            </w:r>
          </w:p>
        </w:tc>
        <w:tc>
          <w:tcPr>
            <w:tcW w:w="425" w:type="dxa"/>
          </w:tcPr>
          <w:p>
            <w:r>
              <w:t>2</w:t>
            </w:r>
          </w:p>
        </w:tc>
        <w:tc>
          <w:tcPr>
            <w:tcW w:w="426" w:type="dxa"/>
          </w:tcPr>
          <w:p>
            <w:r>
              <w:t>2</w:t>
            </w:r>
          </w:p>
        </w:tc>
        <w:tc>
          <w:tcPr>
            <w:tcW w:w="425" w:type="dxa"/>
          </w:tcPr>
          <w:p>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2" w:type="dxa"/>
            <w:noWrap/>
          </w:tcPr>
          <w:p>
            <w:r>
              <w:rPr>
                <w:rFonts w:hint="eastAsia"/>
              </w:rPr>
              <w:t>1</w:t>
            </w:r>
            <w:r>
              <w:t>2</w:t>
            </w:r>
          </w:p>
        </w:tc>
        <w:tc>
          <w:tcPr>
            <w:tcW w:w="2268" w:type="dxa"/>
            <w:noWrap/>
          </w:tcPr>
          <w:p>
            <w:pPr>
              <w:rPr>
                <w:rFonts w:hint="default" w:eastAsia="宋体"/>
                <w:lang w:val="en-US" w:eastAsia="zh-Hans"/>
              </w:rPr>
            </w:pPr>
            <w:r>
              <w:rPr>
                <w:rFonts w:hint="eastAsia"/>
              </w:rPr>
              <w:t>综合案例</w:t>
            </w:r>
            <w:r>
              <w:rPr>
                <w:rFonts w:hint="eastAsia"/>
                <w:lang w:val="en-US" w:eastAsia="zh-Hans"/>
              </w:rPr>
              <w:t>随堂测验</w:t>
            </w:r>
          </w:p>
          <w:p>
            <w:r>
              <w:rPr>
                <w:rFonts w:hint="eastAsia"/>
              </w:rPr>
              <w:t>综合运用所学检索知识和技能，检索相关课题，并对其结果作出理论分析。</w:t>
            </w:r>
          </w:p>
        </w:tc>
        <w:tc>
          <w:tcPr>
            <w:tcW w:w="2381" w:type="dxa"/>
            <w:vAlign w:val="center"/>
          </w:tcPr>
          <w:p>
            <w:r>
              <w:rPr>
                <w:rFonts w:hint="eastAsia"/>
              </w:rPr>
              <w:t>要求学生掌握各种计算机信息检索技术，并能在检索中灵活运用。</w:t>
            </w:r>
          </w:p>
        </w:tc>
        <w:tc>
          <w:tcPr>
            <w:tcW w:w="1588" w:type="dxa"/>
            <w:vAlign w:val="center"/>
          </w:tcPr>
          <w:p>
            <w:r>
              <w:rPr>
                <w:rFonts w:hint="eastAsia"/>
              </w:rPr>
              <w:t>评价学生本学期</w:t>
            </w:r>
          </w:p>
        </w:tc>
        <w:tc>
          <w:tcPr>
            <w:tcW w:w="1276" w:type="dxa"/>
          </w:tcPr>
          <w:p>
            <w:r>
              <w:rPr>
                <w:rFonts w:hint="eastAsia"/>
              </w:rPr>
              <w:t>学会对案例的分析，将学术规范贯穿其中。</w:t>
            </w:r>
          </w:p>
        </w:tc>
        <w:tc>
          <w:tcPr>
            <w:tcW w:w="425" w:type="dxa"/>
          </w:tcPr>
          <w:p>
            <w:r>
              <w:t>0</w:t>
            </w:r>
          </w:p>
        </w:tc>
        <w:tc>
          <w:tcPr>
            <w:tcW w:w="426" w:type="dxa"/>
          </w:tcPr>
          <w:p>
            <w:r>
              <w:rPr>
                <w:rFonts w:hint="eastAsia"/>
              </w:rPr>
              <w:t>2</w:t>
            </w:r>
          </w:p>
        </w:tc>
        <w:tc>
          <w:tcPr>
            <w:tcW w:w="425"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2" w:type="dxa"/>
            <w:noWrap/>
          </w:tcPr>
          <w:p>
            <w:pPr>
              <w:rPr>
                <w:rFonts w:hint="eastAsia"/>
              </w:rPr>
            </w:pPr>
          </w:p>
        </w:tc>
        <w:tc>
          <w:tcPr>
            <w:tcW w:w="2268" w:type="dxa"/>
            <w:noWrap/>
          </w:tcPr>
          <w:p>
            <w:pPr>
              <w:rPr>
                <w:rFonts w:hint="eastAsia"/>
              </w:rPr>
            </w:pPr>
            <w:r>
              <w:rPr>
                <w:rFonts w:hint="eastAsia"/>
              </w:rPr>
              <w:t>总课时</w:t>
            </w:r>
          </w:p>
        </w:tc>
        <w:tc>
          <w:tcPr>
            <w:tcW w:w="2381" w:type="dxa"/>
            <w:vAlign w:val="center"/>
          </w:tcPr>
          <w:p>
            <w:pPr>
              <w:rPr>
                <w:rFonts w:hint="eastAsia"/>
              </w:rPr>
            </w:pPr>
          </w:p>
        </w:tc>
        <w:tc>
          <w:tcPr>
            <w:tcW w:w="1588" w:type="dxa"/>
            <w:vAlign w:val="center"/>
          </w:tcPr>
          <w:p>
            <w:pPr>
              <w:rPr>
                <w:rFonts w:hint="eastAsia"/>
              </w:rPr>
            </w:pPr>
          </w:p>
        </w:tc>
        <w:tc>
          <w:tcPr>
            <w:tcW w:w="1276" w:type="dxa"/>
          </w:tcPr>
          <w:p>
            <w:pPr>
              <w:rPr>
                <w:rFonts w:hint="eastAsia"/>
              </w:rPr>
            </w:pPr>
          </w:p>
        </w:tc>
        <w:tc>
          <w:tcPr>
            <w:tcW w:w="425" w:type="dxa"/>
          </w:tcPr>
          <w:p>
            <w:r>
              <w:rPr>
                <w:rFonts w:hint="eastAsia"/>
              </w:rPr>
              <w:t>8</w:t>
            </w:r>
          </w:p>
        </w:tc>
        <w:tc>
          <w:tcPr>
            <w:tcW w:w="426" w:type="dxa"/>
          </w:tcPr>
          <w:p>
            <w:pPr>
              <w:rPr>
                <w:rFonts w:hint="eastAsia"/>
              </w:rPr>
            </w:pPr>
            <w:r>
              <w:rPr>
                <w:rFonts w:hint="eastAsia"/>
              </w:rPr>
              <w:t>2</w:t>
            </w:r>
            <w:r>
              <w:t>4</w:t>
            </w:r>
          </w:p>
        </w:tc>
        <w:tc>
          <w:tcPr>
            <w:tcW w:w="425" w:type="dxa"/>
          </w:tcPr>
          <w:p>
            <w:pPr>
              <w:rPr>
                <w:rFonts w:hint="eastAsia"/>
              </w:rPr>
            </w:pPr>
            <w:r>
              <w:rPr>
                <w:rFonts w:hint="eastAsia"/>
              </w:rPr>
              <w:t>3</w:t>
            </w:r>
            <w:r>
              <w:t>2</w:t>
            </w: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p>
      <w:pPr>
        <w:snapToGrid w:val="0"/>
        <w:spacing w:line="288" w:lineRule="auto"/>
        <w:ind w:right="26" w:firstLine="400" w:firstLineChars="200"/>
        <w:rPr>
          <w:sz w:val="20"/>
          <w:szCs w:val="20"/>
        </w:rPr>
      </w:pPr>
    </w:p>
    <w:tbl>
      <w:tblPr>
        <w:tblStyle w:val="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505"/>
        <w:gridCol w:w="635"/>
        <w:gridCol w:w="149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实验名称</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主要内容</w:t>
            </w:r>
          </w:p>
        </w:tc>
        <w:tc>
          <w:tcPr>
            <w:tcW w:w="635"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实验</w:t>
            </w:r>
          </w:p>
          <w:p>
            <w:pPr>
              <w:jc w:val="center"/>
            </w:pPr>
            <w:r>
              <w:rPr>
                <w:rFonts w:hint="eastAsia"/>
              </w:rPr>
              <w:t>时数</w:t>
            </w:r>
          </w:p>
        </w:tc>
        <w:tc>
          <w:tcPr>
            <w:tcW w:w="1492" w:type="dxa"/>
            <w:tcBorders>
              <w:top w:val="single" w:color="auto" w:sz="4" w:space="0"/>
              <w:left w:val="single" w:color="auto" w:sz="4" w:space="0"/>
              <w:right w:val="single" w:color="auto" w:sz="4" w:space="0"/>
            </w:tcBorders>
            <w:shd w:val="clear" w:color="auto" w:fill="auto"/>
          </w:tcPr>
          <w:p>
            <w:pPr>
              <w:jc w:val="center"/>
            </w:pPr>
            <w:r>
              <w:rPr>
                <w:rFonts w:hint="eastAsia"/>
              </w:rPr>
              <w:t>实验类型</w:t>
            </w:r>
          </w:p>
        </w:tc>
        <w:tc>
          <w:tcPr>
            <w:tcW w:w="1280" w:type="dxa"/>
            <w:tcBorders>
              <w:top w:val="single" w:color="auto" w:sz="4" w:space="0"/>
              <w:left w:val="single" w:color="auto" w:sz="4" w:space="0"/>
              <w:right w:val="single" w:color="auto" w:sz="4" w:space="0"/>
            </w:tcBorders>
            <w:shd w:val="clear" w:color="auto" w:fill="auto"/>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5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1</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文献探讨</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查阅养老、健康领域研究英文文献，并翻译、总结一篇摘要</w:t>
            </w:r>
          </w:p>
          <w:p>
            <w:pPr>
              <w:snapToGrid w:val="0"/>
              <w:spacing w:before="156" w:beforeLines="50" w:after="156" w:afterLines="50" w:line="288" w:lineRule="auto"/>
              <w:jc w:val="center"/>
            </w:pPr>
          </w:p>
        </w:tc>
        <w:tc>
          <w:tcPr>
            <w:tcW w:w="63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t>2</w:t>
            </w:r>
          </w:p>
        </w:tc>
        <w:tc>
          <w:tcPr>
            <w:tcW w:w="1492"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设计型</w:t>
            </w:r>
          </w:p>
        </w:tc>
        <w:tc>
          <w:tcPr>
            <w:tcW w:w="1280"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2</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研究选题</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选择养老、健康领域恰当主题，并筛选权威文献及摘要</w:t>
            </w:r>
          </w:p>
        </w:tc>
        <w:tc>
          <w:tcPr>
            <w:tcW w:w="63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t>2</w:t>
            </w:r>
          </w:p>
        </w:tc>
        <w:tc>
          <w:tcPr>
            <w:tcW w:w="1492"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设计型</w:t>
            </w:r>
          </w:p>
        </w:tc>
        <w:tc>
          <w:tcPr>
            <w:tcW w:w="1280"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5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3</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lang w:eastAsia="zh-Hans"/>
              </w:rPr>
            </w:pPr>
            <w:r>
              <w:rPr>
                <w:rFonts w:hint="eastAsia"/>
              </w:rPr>
              <w:t>研究</w:t>
            </w:r>
            <w:r>
              <w:rPr>
                <w:rFonts w:hint="eastAsia"/>
                <w:lang w:eastAsia="zh-Hans"/>
              </w:rPr>
              <w:t>综述</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lang w:eastAsia="zh-Hans"/>
              </w:rPr>
            </w:pPr>
            <w:r>
              <w:rPr>
                <w:rFonts w:hint="eastAsia"/>
              </w:rPr>
              <w:t>根据自己的主题进行书写</w:t>
            </w:r>
            <w:r>
              <w:rPr>
                <w:rFonts w:hint="eastAsia"/>
                <w:lang w:eastAsia="zh-Hans"/>
              </w:rPr>
              <w:t>一段综述</w:t>
            </w:r>
          </w:p>
        </w:tc>
        <w:tc>
          <w:tcPr>
            <w:tcW w:w="63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t>4</w:t>
            </w:r>
          </w:p>
        </w:tc>
        <w:tc>
          <w:tcPr>
            <w:tcW w:w="1492"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设计型</w:t>
            </w:r>
          </w:p>
        </w:tc>
        <w:tc>
          <w:tcPr>
            <w:tcW w:w="1280"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5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4</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研究汇报</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rPr>
                <w:lang w:eastAsia="zh-Hans"/>
              </w:rPr>
            </w:pPr>
            <w:r>
              <w:rPr>
                <w:rFonts w:hint="eastAsia"/>
              </w:rPr>
              <w:t>小组讨论并汇报</w:t>
            </w:r>
            <w:r>
              <w:rPr>
                <w:rFonts w:hint="eastAsia"/>
                <w:lang w:eastAsia="zh-Hans"/>
              </w:rPr>
              <w:t>一篇权威文献</w:t>
            </w:r>
          </w:p>
        </w:tc>
        <w:tc>
          <w:tcPr>
            <w:tcW w:w="63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t>4</w:t>
            </w:r>
          </w:p>
        </w:tc>
        <w:tc>
          <w:tcPr>
            <w:tcW w:w="1492"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演示型</w:t>
            </w:r>
          </w:p>
        </w:tc>
        <w:tc>
          <w:tcPr>
            <w:tcW w:w="1280"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54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5</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检索练习</w:t>
            </w:r>
          </w:p>
        </w:tc>
        <w:tc>
          <w:tcPr>
            <w:tcW w:w="350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根据每堂课主题，</w:t>
            </w:r>
            <w:r>
              <w:rPr>
                <w:rFonts w:hint="eastAsia"/>
                <w:lang w:eastAsia="zh-Hans"/>
              </w:rPr>
              <w:t>运用不同数据库</w:t>
            </w:r>
            <w:r>
              <w:rPr>
                <w:rFonts w:hint="eastAsia"/>
              </w:rPr>
              <w:t>进行信息检索</w:t>
            </w:r>
          </w:p>
        </w:tc>
        <w:tc>
          <w:tcPr>
            <w:tcW w:w="635"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156" w:beforeLines="50" w:after="156" w:afterLines="50" w:line="288" w:lineRule="auto"/>
            </w:pPr>
            <w:r>
              <w:t>12</w:t>
            </w:r>
          </w:p>
        </w:tc>
        <w:tc>
          <w:tcPr>
            <w:tcW w:w="1492"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r>
              <w:rPr>
                <w:rFonts w:hint="eastAsia"/>
              </w:rPr>
              <w:t>综合型</w:t>
            </w:r>
          </w:p>
        </w:tc>
        <w:tc>
          <w:tcPr>
            <w:tcW w:w="1280" w:type="dxa"/>
            <w:tcBorders>
              <w:left w:val="single" w:color="auto" w:sz="4" w:space="0"/>
              <w:right w:val="single" w:color="auto" w:sz="4" w:space="0"/>
            </w:tcBorders>
            <w:shd w:val="clear" w:color="auto" w:fill="auto"/>
          </w:tcPr>
          <w:p>
            <w:pPr>
              <w:snapToGrid w:val="0"/>
              <w:spacing w:before="156" w:beforeLines="50" w:after="156" w:afterLines="50" w:line="288" w:lineRule="auto"/>
              <w:jc w:val="center"/>
            </w:pPr>
          </w:p>
        </w:tc>
      </w:tr>
    </w:tbl>
    <w:p>
      <w:pPr>
        <w:snapToGrid w:val="0"/>
        <w:spacing w:line="288" w:lineRule="auto"/>
        <w:ind w:right="2520"/>
        <w:rPr>
          <w:rFonts w:ascii="黑体" w:hAnsi="宋体" w:eastAsia="黑体"/>
          <w:sz w:val="24"/>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八、评价方式与成绩</w:t>
      </w:r>
    </w:p>
    <w:tbl>
      <w:tblPr>
        <w:tblStyle w:val="4"/>
        <w:tblpPr w:leftFromText="180" w:rightFromText="180" w:vertAnchor="text" w:horzAnchor="margin" w:tblpY="15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pPr>
            <w:r>
              <w:rPr>
                <w:rFonts w:hint="eastAsia"/>
              </w:rPr>
              <w:t>总评构成（</w:t>
            </w:r>
            <w:r>
              <w:rPr>
                <w:rFonts w:hint="eastAsia"/>
                <w:lang w:val="en-US" w:eastAsia="zh-CN"/>
              </w:rPr>
              <w:t>全X</w:t>
            </w:r>
            <w:r>
              <w:rPr>
                <w:rFonts w:hint="eastAsia"/>
              </w:rPr>
              <w:t>）</w:t>
            </w:r>
          </w:p>
        </w:tc>
        <w:tc>
          <w:tcPr>
            <w:tcW w:w="5103" w:type="dxa"/>
            <w:shd w:val="clear" w:color="auto" w:fill="auto"/>
          </w:tcPr>
          <w:p>
            <w:pPr>
              <w:snapToGrid w:val="0"/>
              <w:spacing w:before="156" w:beforeLines="50" w:after="156" w:afterLines="50"/>
              <w:jc w:val="center"/>
            </w:pPr>
            <w:r>
              <w:rPr>
                <w:rFonts w:hint="eastAsia"/>
              </w:rPr>
              <w:t>评价方式</w:t>
            </w:r>
          </w:p>
        </w:tc>
        <w:tc>
          <w:tcPr>
            <w:tcW w:w="1843" w:type="dxa"/>
            <w:shd w:val="clear" w:color="auto" w:fill="auto"/>
          </w:tcPr>
          <w:p>
            <w:pPr>
              <w:snapToGrid w:val="0"/>
              <w:spacing w:before="156" w:beforeLines="50" w:after="156" w:afterLines="50"/>
              <w:jc w:val="center"/>
            </w:pPr>
            <w:r>
              <w:rPr>
                <w:rFonts w:hint="eastAsia"/>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pPr>
            <w:r>
              <w:rPr>
                <w:rFonts w:hint="eastAsia"/>
              </w:rPr>
              <w:t>X1</w:t>
            </w:r>
          </w:p>
        </w:tc>
        <w:tc>
          <w:tcPr>
            <w:tcW w:w="5103" w:type="dxa"/>
            <w:shd w:val="clear" w:color="auto" w:fill="auto"/>
          </w:tcPr>
          <w:p>
            <w:pPr>
              <w:snapToGrid w:val="0"/>
              <w:spacing w:before="156" w:beforeLines="50" w:after="156" w:afterLines="50"/>
              <w:jc w:val="center"/>
              <w:rPr>
                <w:rFonts w:hint="default" w:eastAsia="宋体"/>
                <w:lang w:val="en-US" w:eastAsia="zh-Hans"/>
              </w:rPr>
            </w:pPr>
            <w:r>
              <w:rPr>
                <w:rFonts w:hint="eastAsia"/>
                <w:lang w:val="en-US" w:eastAsia="zh-Hans"/>
              </w:rPr>
              <w:t>随堂测验</w:t>
            </w:r>
          </w:p>
        </w:tc>
        <w:tc>
          <w:tcPr>
            <w:tcW w:w="1843" w:type="dxa"/>
            <w:shd w:val="clear" w:color="auto" w:fill="auto"/>
          </w:tcPr>
          <w:p>
            <w:pPr>
              <w:snapToGrid w:val="0"/>
              <w:spacing w:before="156" w:beforeLines="50" w:after="156" w:afterLines="50"/>
              <w:jc w:val="center"/>
            </w:pPr>
            <w:r>
              <w:rPr>
                <w:rFonts w:hint="eastAsia"/>
              </w:rPr>
              <w:t>4</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pPr>
            <w:r>
              <w:rPr>
                <w:rFonts w:hint="eastAsia"/>
              </w:rPr>
              <w:t>X2</w:t>
            </w:r>
          </w:p>
        </w:tc>
        <w:tc>
          <w:tcPr>
            <w:tcW w:w="5103" w:type="dxa"/>
            <w:shd w:val="clear" w:color="auto" w:fill="auto"/>
          </w:tcPr>
          <w:p>
            <w:pPr>
              <w:snapToGrid w:val="0"/>
              <w:spacing w:before="156" w:beforeLines="50" w:after="156" w:afterLines="50"/>
              <w:jc w:val="center"/>
              <w:rPr>
                <w:lang w:eastAsia="zh-Hans"/>
              </w:rPr>
            </w:pPr>
            <w:r>
              <w:rPr>
                <w:rFonts w:hint="eastAsia"/>
              </w:rPr>
              <w:t>课堂</w:t>
            </w:r>
            <w:r>
              <w:rPr>
                <w:rFonts w:hint="eastAsia"/>
                <w:lang w:eastAsia="zh-Hans"/>
              </w:rPr>
              <w:t>作业</w:t>
            </w:r>
            <w:bookmarkStart w:id="1" w:name="_GoBack"/>
            <w:bookmarkEnd w:id="1"/>
          </w:p>
        </w:tc>
        <w:tc>
          <w:tcPr>
            <w:tcW w:w="1843" w:type="dxa"/>
            <w:shd w:val="clear" w:color="auto" w:fill="auto"/>
          </w:tcPr>
          <w:p>
            <w:pPr>
              <w:snapToGrid w:val="0"/>
              <w:spacing w:before="156" w:beforeLines="50" w:after="156" w:afterLines="50"/>
              <w:jc w:val="center"/>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pPr>
            <w:r>
              <w:rPr>
                <w:rFonts w:hint="eastAsia"/>
              </w:rPr>
              <w:t>X3</w:t>
            </w:r>
          </w:p>
        </w:tc>
        <w:tc>
          <w:tcPr>
            <w:tcW w:w="5103" w:type="dxa"/>
            <w:shd w:val="clear" w:color="auto" w:fill="auto"/>
          </w:tcPr>
          <w:p>
            <w:pPr>
              <w:snapToGrid w:val="0"/>
              <w:spacing w:before="156" w:beforeLines="50" w:after="156" w:afterLines="50"/>
              <w:jc w:val="center"/>
            </w:pPr>
            <w:r>
              <w:rPr>
                <w:rFonts w:hint="eastAsia"/>
              </w:rPr>
              <w:t>平时成绩（考勤+课堂表现）</w:t>
            </w:r>
          </w:p>
        </w:tc>
        <w:tc>
          <w:tcPr>
            <w:tcW w:w="1843" w:type="dxa"/>
            <w:shd w:val="clear" w:color="auto" w:fill="auto"/>
          </w:tcPr>
          <w:p>
            <w:pPr>
              <w:snapToGrid w:val="0"/>
              <w:spacing w:before="156" w:beforeLines="50" w:after="156" w:afterLines="50"/>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pPr>
            <w:r>
              <w:rPr>
                <w:rFonts w:hint="eastAsia"/>
              </w:rPr>
              <w:t>X4</w:t>
            </w:r>
          </w:p>
        </w:tc>
        <w:tc>
          <w:tcPr>
            <w:tcW w:w="5103" w:type="dxa"/>
            <w:shd w:val="clear" w:color="auto" w:fill="auto"/>
          </w:tcPr>
          <w:p>
            <w:pPr>
              <w:snapToGrid w:val="0"/>
              <w:spacing w:before="156" w:beforeLines="50" w:after="156" w:afterLines="50"/>
              <w:jc w:val="center"/>
            </w:pPr>
            <w:r>
              <w:rPr>
                <w:rFonts w:hint="eastAsia"/>
              </w:rPr>
              <w:t>口头汇报</w:t>
            </w:r>
          </w:p>
        </w:tc>
        <w:tc>
          <w:tcPr>
            <w:tcW w:w="1843" w:type="dxa"/>
            <w:shd w:val="clear" w:color="auto" w:fill="auto"/>
          </w:tcPr>
          <w:p>
            <w:pPr>
              <w:snapToGrid w:val="0"/>
              <w:spacing w:before="156" w:beforeLines="50" w:after="156" w:afterLines="50"/>
              <w:jc w:val="center"/>
            </w:pPr>
            <w:r>
              <w:t>10%</w:t>
            </w:r>
          </w:p>
        </w:tc>
      </w:tr>
    </w:tbl>
    <w:p>
      <w:pPr>
        <w:snapToGrid w:val="0"/>
        <w:spacing w:line="288" w:lineRule="auto"/>
        <w:ind w:right="2520" w:firstLine="400" w:firstLineChars="200"/>
        <w:rPr>
          <w:sz w:val="20"/>
          <w:szCs w:val="20"/>
        </w:rPr>
      </w:pPr>
    </w:p>
    <w:p>
      <w:pPr>
        <w:snapToGrid w:val="0"/>
        <w:spacing w:before="120" w:after="120" w:line="288" w:lineRule="auto"/>
        <w:rPr>
          <w:rFonts w:ascii="宋体" w:hAnsi="宋体"/>
          <w:sz w:val="20"/>
          <w:szCs w:val="20"/>
          <w:highlight w:val="yellow"/>
        </w:rPr>
      </w:pPr>
      <w:r>
        <w:rPr>
          <w:rFonts w:hint="eastAsia"/>
          <w:sz w:val="28"/>
          <w:szCs w:val="28"/>
        </w:rPr>
        <w:drawing>
          <wp:anchor distT="0" distB="0" distL="114300" distR="114300" simplePos="0" relativeHeight="251661312" behindDoc="0" locked="0" layoutInCell="1" allowOverlap="1">
            <wp:simplePos x="0" y="0"/>
            <wp:positionH relativeFrom="column">
              <wp:posOffset>3932555</wp:posOffset>
            </wp:positionH>
            <wp:positionV relativeFrom="paragraph">
              <wp:posOffset>113030</wp:posOffset>
            </wp:positionV>
            <wp:extent cx="1170305" cy="561340"/>
            <wp:effectExtent l="0" t="0" r="0" b="0"/>
            <wp:wrapNone/>
            <wp:docPr id="224967626" name="图片 1" descr="0bac983d4e1acf3e9c343d7a8510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67626" name="图片 1" descr="0bac983d4e1acf3e9c343d7a85104c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70305" cy="56134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833120</wp:posOffset>
            </wp:positionH>
            <wp:positionV relativeFrom="paragraph">
              <wp:posOffset>48895</wp:posOffset>
            </wp:positionV>
            <wp:extent cx="474345" cy="774065"/>
            <wp:effectExtent l="0" t="0" r="1460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rot="16200000">
                      <a:off x="0" y="0"/>
                      <a:ext cx="474345" cy="774065"/>
                    </a:xfrm>
                    <a:prstGeom prst="rect">
                      <a:avLst/>
                    </a:prstGeom>
                    <a:noFill/>
                    <a:ln>
                      <a:noFill/>
                    </a:ln>
                  </pic:spPr>
                </pic:pic>
              </a:graphicData>
            </a:graphic>
          </wp:anchor>
        </w:drawing>
      </w:r>
    </w:p>
    <w:p>
      <w:pPr>
        <w:snapToGrid w:val="0"/>
        <w:spacing w:before="120" w:after="120" w:line="288" w:lineRule="auto"/>
        <w:rPr>
          <w:sz w:val="28"/>
          <w:szCs w:val="28"/>
        </w:rPr>
      </w:pPr>
      <w:r>
        <w:rPr>
          <w:rFonts w:hint="eastAsia"/>
          <w:sz w:val="28"/>
          <w:szCs w:val="28"/>
        </w:rPr>
        <w:t>撰写人：                    系主任审核签名：</w:t>
      </w:r>
    </w:p>
    <w:p>
      <w:pPr>
        <w:snapToGrid w:val="0"/>
        <w:spacing w:line="288" w:lineRule="auto"/>
        <w:ind w:firstLine="840" w:firstLineChars="300"/>
        <w:rPr>
          <w:sz w:val="28"/>
          <w:szCs w:val="28"/>
        </w:rPr>
      </w:pPr>
    </w:p>
    <w:p>
      <w:pPr>
        <w:snapToGrid w:val="0"/>
        <w:spacing w:line="288" w:lineRule="auto"/>
        <w:ind w:firstLine="840" w:firstLineChars="300"/>
        <w:rPr>
          <w:sz w:val="28"/>
          <w:szCs w:val="28"/>
        </w:rPr>
      </w:pPr>
      <w:r>
        <w:rPr>
          <w:rFonts w:hint="eastAsia"/>
          <w:sz w:val="28"/>
          <w:szCs w:val="28"/>
        </w:rPr>
        <w:t xml:space="preserve">审核时间： </w:t>
      </w:r>
      <w:r>
        <w:rPr>
          <w:sz w:val="28"/>
          <w:szCs w:val="28"/>
        </w:rPr>
        <w:t>2023</w:t>
      </w:r>
      <w:r>
        <w:rPr>
          <w:rFonts w:hint="eastAsia"/>
          <w:sz w:val="28"/>
          <w:szCs w:val="28"/>
        </w:rPr>
        <w:t xml:space="preserve">年9月1日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B0604020202020204"/>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zgxYTJhN2I3ZmNiYmJhYzJjOWFkNjNiYTY5YzcifQ=="/>
  </w:docVars>
  <w:rsids>
    <w:rsidRoot w:val="00B7651F"/>
    <w:rsid w:val="000131DB"/>
    <w:rsid w:val="00060543"/>
    <w:rsid w:val="000901CC"/>
    <w:rsid w:val="000B3128"/>
    <w:rsid w:val="000F5187"/>
    <w:rsid w:val="000F6FF2"/>
    <w:rsid w:val="00101A9F"/>
    <w:rsid w:val="001072BC"/>
    <w:rsid w:val="00120ED0"/>
    <w:rsid w:val="00171A6D"/>
    <w:rsid w:val="001D066B"/>
    <w:rsid w:val="001D7711"/>
    <w:rsid w:val="00205996"/>
    <w:rsid w:val="00216C58"/>
    <w:rsid w:val="00256B39"/>
    <w:rsid w:val="0026033C"/>
    <w:rsid w:val="00265188"/>
    <w:rsid w:val="0027197A"/>
    <w:rsid w:val="002E3721"/>
    <w:rsid w:val="002E4B2E"/>
    <w:rsid w:val="00312A09"/>
    <w:rsid w:val="00313BBA"/>
    <w:rsid w:val="0032602E"/>
    <w:rsid w:val="003367AE"/>
    <w:rsid w:val="003833F7"/>
    <w:rsid w:val="0038716E"/>
    <w:rsid w:val="00395D9C"/>
    <w:rsid w:val="00397CC3"/>
    <w:rsid w:val="003A4762"/>
    <w:rsid w:val="003B1258"/>
    <w:rsid w:val="003C024E"/>
    <w:rsid w:val="003E4124"/>
    <w:rsid w:val="003E70D8"/>
    <w:rsid w:val="004100B0"/>
    <w:rsid w:val="0043113E"/>
    <w:rsid w:val="00432473"/>
    <w:rsid w:val="00446D20"/>
    <w:rsid w:val="00494996"/>
    <w:rsid w:val="004B1D83"/>
    <w:rsid w:val="00501799"/>
    <w:rsid w:val="0052414B"/>
    <w:rsid w:val="005315A5"/>
    <w:rsid w:val="00540597"/>
    <w:rsid w:val="005467DC"/>
    <w:rsid w:val="00553D03"/>
    <w:rsid w:val="00560E72"/>
    <w:rsid w:val="00570348"/>
    <w:rsid w:val="005B2B6D"/>
    <w:rsid w:val="005B4B4E"/>
    <w:rsid w:val="005C03BD"/>
    <w:rsid w:val="005E2BCC"/>
    <w:rsid w:val="00615011"/>
    <w:rsid w:val="00624FE1"/>
    <w:rsid w:val="00636C99"/>
    <w:rsid w:val="006554FD"/>
    <w:rsid w:val="0066087B"/>
    <w:rsid w:val="006A3714"/>
    <w:rsid w:val="006B5A0E"/>
    <w:rsid w:val="006C4434"/>
    <w:rsid w:val="006E6BF0"/>
    <w:rsid w:val="00713BDD"/>
    <w:rsid w:val="00716B04"/>
    <w:rsid w:val="007208D6"/>
    <w:rsid w:val="00772DC6"/>
    <w:rsid w:val="00781128"/>
    <w:rsid w:val="007864EC"/>
    <w:rsid w:val="007B6B2D"/>
    <w:rsid w:val="007E3880"/>
    <w:rsid w:val="007F0ACC"/>
    <w:rsid w:val="007F2779"/>
    <w:rsid w:val="007F5322"/>
    <w:rsid w:val="00807BE0"/>
    <w:rsid w:val="008265E4"/>
    <w:rsid w:val="008470C2"/>
    <w:rsid w:val="008647FB"/>
    <w:rsid w:val="008B397C"/>
    <w:rsid w:val="008B47F4"/>
    <w:rsid w:val="008B4B1E"/>
    <w:rsid w:val="00900019"/>
    <w:rsid w:val="0090512B"/>
    <w:rsid w:val="0091020D"/>
    <w:rsid w:val="009162CD"/>
    <w:rsid w:val="00922BDF"/>
    <w:rsid w:val="00961221"/>
    <w:rsid w:val="0096412D"/>
    <w:rsid w:val="0099063E"/>
    <w:rsid w:val="009B0A91"/>
    <w:rsid w:val="009C02CD"/>
    <w:rsid w:val="009C4B02"/>
    <w:rsid w:val="009E0C9C"/>
    <w:rsid w:val="009F0DF3"/>
    <w:rsid w:val="009F41F4"/>
    <w:rsid w:val="00A157D6"/>
    <w:rsid w:val="00A44699"/>
    <w:rsid w:val="00A45A7F"/>
    <w:rsid w:val="00A7126F"/>
    <w:rsid w:val="00A72516"/>
    <w:rsid w:val="00A769B1"/>
    <w:rsid w:val="00A837D5"/>
    <w:rsid w:val="00AB73E5"/>
    <w:rsid w:val="00AC07E5"/>
    <w:rsid w:val="00AC4C45"/>
    <w:rsid w:val="00AC62D1"/>
    <w:rsid w:val="00AF3291"/>
    <w:rsid w:val="00B42DBF"/>
    <w:rsid w:val="00B46F21"/>
    <w:rsid w:val="00B511A5"/>
    <w:rsid w:val="00B517EC"/>
    <w:rsid w:val="00B57445"/>
    <w:rsid w:val="00B736A7"/>
    <w:rsid w:val="00B7651F"/>
    <w:rsid w:val="00B76A95"/>
    <w:rsid w:val="00BA1224"/>
    <w:rsid w:val="00BB0D37"/>
    <w:rsid w:val="00BC40FD"/>
    <w:rsid w:val="00BC671B"/>
    <w:rsid w:val="00BE5AC3"/>
    <w:rsid w:val="00C10FD5"/>
    <w:rsid w:val="00C56E09"/>
    <w:rsid w:val="00CC0C1B"/>
    <w:rsid w:val="00CD07A3"/>
    <w:rsid w:val="00CE3CE5"/>
    <w:rsid w:val="00CE6602"/>
    <w:rsid w:val="00CF096B"/>
    <w:rsid w:val="00D36E30"/>
    <w:rsid w:val="00D37A39"/>
    <w:rsid w:val="00D91007"/>
    <w:rsid w:val="00DB7768"/>
    <w:rsid w:val="00DB7837"/>
    <w:rsid w:val="00DF02C4"/>
    <w:rsid w:val="00E105A7"/>
    <w:rsid w:val="00E16D30"/>
    <w:rsid w:val="00E2131D"/>
    <w:rsid w:val="00E33169"/>
    <w:rsid w:val="00E70904"/>
    <w:rsid w:val="00E86E2A"/>
    <w:rsid w:val="00EF44B1"/>
    <w:rsid w:val="00F14EDD"/>
    <w:rsid w:val="00F21C10"/>
    <w:rsid w:val="00F35AA0"/>
    <w:rsid w:val="00F56368"/>
    <w:rsid w:val="00F75D70"/>
    <w:rsid w:val="00F77CFB"/>
    <w:rsid w:val="00F90264"/>
    <w:rsid w:val="00FB07E7"/>
    <w:rsid w:val="00FF5640"/>
    <w:rsid w:val="016E63C2"/>
    <w:rsid w:val="024B0C39"/>
    <w:rsid w:val="0A8128A6"/>
    <w:rsid w:val="0BF32A1B"/>
    <w:rsid w:val="0F8A4BD0"/>
    <w:rsid w:val="10BD2C22"/>
    <w:rsid w:val="22987C80"/>
    <w:rsid w:val="23CDBF06"/>
    <w:rsid w:val="24192CCC"/>
    <w:rsid w:val="39A66CD4"/>
    <w:rsid w:val="3CD52CE1"/>
    <w:rsid w:val="410F2E6A"/>
    <w:rsid w:val="4430136C"/>
    <w:rsid w:val="4AB0382B"/>
    <w:rsid w:val="569868B5"/>
    <w:rsid w:val="5B7F161B"/>
    <w:rsid w:val="611F6817"/>
    <w:rsid w:val="66CA1754"/>
    <w:rsid w:val="675F9F5F"/>
    <w:rsid w:val="677214DF"/>
    <w:rsid w:val="6F1E65D4"/>
    <w:rsid w:val="6F266C86"/>
    <w:rsid w:val="6F5042C2"/>
    <w:rsid w:val="72DB211E"/>
    <w:rsid w:val="74316312"/>
    <w:rsid w:val="77EF0116"/>
    <w:rsid w:val="780F13C8"/>
    <w:rsid w:val="7C385448"/>
    <w:rsid w:val="7CB3663D"/>
    <w:rsid w:val="7D3ED7EC"/>
    <w:rsid w:val="7FFEEB70"/>
    <w:rsid w:val="AB3CE9B5"/>
    <w:rsid w:val="B76F3FC1"/>
    <w:rsid w:val="B8757E0D"/>
    <w:rsid w:val="C72FC391"/>
    <w:rsid w:val="DF2F4DBD"/>
    <w:rsid w:val="DFFEDEE9"/>
    <w:rsid w:val="FBB5B20B"/>
    <w:rsid w:val="FD73B8A7"/>
    <w:rsid w:val="FD7F1E55"/>
    <w:rsid w:val="FFD9E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20"/>
    <w:rPr>
      <w:i/>
      <w:iCs/>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4163</Words>
  <Characters>4395</Characters>
  <Lines>34</Lines>
  <Paragraphs>9</Paragraphs>
  <TotalTime>25</TotalTime>
  <ScaleCrop>false</ScaleCrop>
  <LinksUpToDate>false</LinksUpToDate>
  <CharactersWithSpaces>4479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2023-08-22T06:15:00Z</dcterms:created>
  <dc:creator>juvg</dc:creator>
  <cp:lastModifiedBy>培培</cp:lastModifiedBy>
  <dcterms:modified xsi:type="dcterms:W3CDTF">2023-09-08T07:28:55Z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5554206E026A480B8F2C595B094377F1_12</vt:lpwstr>
  </property>
</Properties>
</file>