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方正小标宋简体" w:hAnsi="宋体"/>
          <w:bCs/>
          <w:kern w:val="0"/>
          <w:szCs w:val="21"/>
        </w:rPr>
      </w:pPr>
      <w:r>
        <w:rPr>
          <w:rFonts w:ascii="方正小标宋简体" w:hAnsi="宋体" w:eastAsia="方正小标宋简体"/>
          <w:bCs/>
          <w:kern w:val="0"/>
          <w:sz w:val="40"/>
          <w:szCs w:val="40"/>
        </w:rPr>
        <w:pict>
          <v:shape id="文本框 1" o:spid="_x0000_s1026" o:spt="202" type="#_x0000_t202" style="position:absolute;left:0pt;margin-left:41.8pt;margin-top:27.55pt;height:22.1pt;width:207.5pt;mso-position-horizontal-relative:page;mso-position-vertical-relative:page;z-index:251658240;mso-width-relative:page;mso-height-relative:page;"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v:path/>
            <v:fill focussize="0,0"/>
            <v:stroke on="f" weight="0.5pt" joinstyle="miter"/>
            <v:imagedata o:title=""/>
            <o:lock v:ext="edit"/>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w:r>
      <w:r>
        <w:rPr>
          <w:rFonts w:hint="eastAsia" w:ascii="方正小标宋简体" w:hAnsi="宋体" w:eastAsia="方正小标宋简体"/>
          <w:bCs/>
          <w:kern w:val="0"/>
          <w:sz w:val="40"/>
          <w:szCs w:val="40"/>
        </w:rPr>
        <w:t>专业课课程教学大纲</w:t>
      </w:r>
    </w:p>
    <w:p>
      <w:pPr>
        <w:spacing w:line="288" w:lineRule="auto"/>
        <w:jc w:val="center"/>
        <w:rPr>
          <w:b/>
          <w:sz w:val="28"/>
          <w:szCs w:val="30"/>
        </w:rPr>
      </w:pPr>
      <w:r>
        <w:rPr>
          <w:rFonts w:hint="eastAsia"/>
          <w:b/>
          <w:sz w:val="28"/>
          <w:szCs w:val="30"/>
        </w:rPr>
        <w:t>【基础护理学2】</w:t>
      </w:r>
    </w:p>
    <w:p>
      <w:pPr>
        <w:shd w:val="clear" w:color="auto" w:fill="F5F5F5"/>
        <w:jc w:val="center"/>
        <w:textAlignment w:val="top"/>
        <w:rPr>
          <w:rFonts w:ascii="Arial" w:hAnsi="Arial" w:cs="Arial"/>
          <w:color w:val="888888"/>
          <w:kern w:val="0"/>
          <w:sz w:val="20"/>
          <w:szCs w:val="20"/>
        </w:rPr>
      </w:pPr>
      <w:r>
        <w:rPr>
          <w:rFonts w:hint="eastAsia"/>
          <w:b/>
          <w:sz w:val="28"/>
          <w:szCs w:val="30"/>
        </w:rPr>
        <w:t>【Basic Nursing2】</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【2070019】</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4</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护理学</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系级必修课◎</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b/>
          <w:bCs/>
          <w:color w:val="000000"/>
          <w:sz w:val="20"/>
          <w:szCs w:val="20"/>
        </w:rPr>
        <w:t>健康管理学院护理系</w:t>
      </w:r>
    </w:p>
    <w:p>
      <w:pPr>
        <w:snapToGrid w:val="0"/>
        <w:spacing w:line="288" w:lineRule="auto"/>
        <w:ind w:firstLine="394" w:firstLineChars="196"/>
        <w:rPr>
          <w:color w:val="000000"/>
          <w:sz w:val="20"/>
          <w:szCs w:val="20"/>
        </w:rPr>
      </w:pPr>
      <w:r>
        <w:rPr>
          <w:b/>
          <w:bCs/>
          <w:color w:val="000000"/>
          <w:sz w:val="20"/>
          <w:szCs w:val="20"/>
        </w:rPr>
        <w:t>使用教材：</w:t>
      </w:r>
    </w:p>
    <w:p>
      <w:pPr>
        <w:snapToGrid w:val="0"/>
        <w:spacing w:line="288" w:lineRule="auto"/>
        <w:ind w:firstLine="792" w:firstLineChars="396"/>
        <w:rPr>
          <w:color w:val="000000"/>
          <w:szCs w:val="21"/>
        </w:rPr>
      </w:pPr>
      <w:r>
        <w:rPr>
          <w:color w:val="000000"/>
          <w:sz w:val="20"/>
          <w:szCs w:val="20"/>
        </w:rPr>
        <w:t>教材【</w:t>
      </w:r>
      <w:r>
        <w:rPr>
          <w:rFonts w:hint="eastAsia"/>
          <w:color w:val="000000"/>
          <w:sz w:val="20"/>
          <w:szCs w:val="20"/>
        </w:rPr>
        <w:t>基础护理学，李小寒、尚少梅，人民卫生出版社，第6版</w:t>
      </w:r>
      <w:r>
        <w:rPr>
          <w:color w:val="000000"/>
          <w:sz w:val="20"/>
          <w:szCs w:val="20"/>
        </w:rPr>
        <w:t>】</w:t>
      </w:r>
    </w:p>
    <w:p>
      <w:pPr>
        <w:snapToGrid w:val="0"/>
        <w:spacing w:line="288" w:lineRule="auto"/>
        <w:ind w:firstLine="792" w:firstLineChars="396"/>
        <w:rPr>
          <w:color w:val="000000"/>
          <w:sz w:val="20"/>
          <w:szCs w:val="20"/>
        </w:rPr>
      </w:pPr>
      <w:r>
        <w:rPr>
          <w:color w:val="000000"/>
          <w:sz w:val="20"/>
          <w:szCs w:val="20"/>
        </w:rPr>
        <w:t>参考</w:t>
      </w:r>
      <w:r>
        <w:rPr>
          <w:rFonts w:hint="eastAsia"/>
          <w:color w:val="000000"/>
          <w:sz w:val="20"/>
          <w:szCs w:val="20"/>
        </w:rPr>
        <w:t>书目</w:t>
      </w:r>
      <w:r>
        <w:rPr>
          <w:color w:val="000000"/>
          <w:sz w:val="20"/>
          <w:szCs w:val="20"/>
        </w:rPr>
        <w:t>【</w:t>
      </w:r>
      <w:r>
        <w:rPr>
          <w:rFonts w:hint="eastAsia"/>
          <w:color w:val="000000"/>
          <w:sz w:val="20"/>
          <w:szCs w:val="20"/>
        </w:rPr>
        <w:t>新编护理学基础，姜安丽、钱晓路，人民卫生出版社，第3版；新编护理学基础实训与实习指导，叶旭春、吴菁，人民卫生出版社；全国护士执业资格考试指导，全国护士执业资格考试用书编写专家委员会，人民卫生出版社，第2019版</w:t>
      </w:r>
      <w:r>
        <w:rPr>
          <w:color w:val="000000"/>
          <w:sz w:val="20"/>
          <w:szCs w:val="20"/>
        </w:rPr>
        <w:t>】</w:t>
      </w:r>
    </w:p>
    <w:p>
      <w:pPr>
        <w:snapToGrid w:val="0"/>
        <w:spacing w:line="288" w:lineRule="auto"/>
        <w:ind w:firstLine="394" w:firstLineChars="196"/>
        <w:rPr>
          <w:color w:val="000000"/>
          <w:sz w:val="20"/>
          <w:szCs w:val="20"/>
          <w:highlight w:val="yellow"/>
        </w:rPr>
      </w:pPr>
      <w:r>
        <w:rPr>
          <w:rFonts w:hint="eastAsia"/>
          <w:b/>
          <w:bCs/>
          <w:color w:val="000000"/>
          <w:sz w:val="20"/>
          <w:szCs w:val="20"/>
        </w:rPr>
        <w:t>课程网站网址：暂无</w:t>
      </w:r>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人体解剖学</w:t>
      </w:r>
      <w:r>
        <w:rPr>
          <w:color w:val="000000"/>
          <w:sz w:val="20"/>
          <w:szCs w:val="20"/>
        </w:rPr>
        <w:t>A 010001（</w:t>
      </w:r>
      <w:r>
        <w:rPr>
          <w:rFonts w:hint="eastAsia"/>
          <w:color w:val="000000"/>
          <w:sz w:val="20"/>
          <w:szCs w:val="20"/>
        </w:rPr>
        <w:t>6</w:t>
      </w:r>
      <w:r>
        <w:rPr>
          <w:color w:val="000000"/>
          <w:sz w:val="20"/>
          <w:szCs w:val="20"/>
        </w:rPr>
        <w:t>）</w:t>
      </w:r>
      <w:r>
        <w:rPr>
          <w:rFonts w:hint="eastAsia"/>
          <w:color w:val="000000"/>
          <w:sz w:val="20"/>
          <w:szCs w:val="20"/>
        </w:rPr>
        <w:t>，生理学</w:t>
      </w:r>
      <w:r>
        <w:rPr>
          <w:color w:val="000000"/>
          <w:sz w:val="20"/>
          <w:szCs w:val="20"/>
        </w:rPr>
        <w:t>A 010001（</w:t>
      </w:r>
      <w:r>
        <w:rPr>
          <w:rFonts w:hint="eastAsia"/>
          <w:color w:val="000000"/>
          <w:sz w:val="20"/>
          <w:szCs w:val="20"/>
        </w:rPr>
        <w:t>4</w:t>
      </w:r>
      <w:r>
        <w:rPr>
          <w:color w:val="000000"/>
          <w:sz w:val="20"/>
          <w:szCs w:val="20"/>
        </w:rPr>
        <w:t>）</w:t>
      </w:r>
      <w:r>
        <w:rPr>
          <w:rFonts w:hint="eastAsia"/>
          <w:color w:val="000000"/>
          <w:sz w:val="20"/>
          <w:szCs w:val="20"/>
        </w:rPr>
        <w:t>，病理学与病理生理学A 010001（3），药理学</w:t>
      </w:r>
      <w:r>
        <w:rPr>
          <w:color w:val="000000"/>
          <w:sz w:val="20"/>
          <w:szCs w:val="20"/>
        </w:rPr>
        <w:t>A 010001（</w:t>
      </w:r>
      <w:r>
        <w:rPr>
          <w:rFonts w:hint="eastAsia"/>
          <w:color w:val="000000"/>
          <w:sz w:val="20"/>
          <w:szCs w:val="20"/>
        </w:rPr>
        <w:t>3</w:t>
      </w:r>
      <w:r>
        <w:rPr>
          <w:color w:val="000000"/>
          <w:sz w:val="20"/>
          <w:szCs w:val="20"/>
        </w:rPr>
        <w:t>）</w:t>
      </w:r>
      <w:r>
        <w:rPr>
          <w:rFonts w:hint="eastAsia"/>
          <w:color w:val="000000"/>
          <w:sz w:val="20"/>
          <w:szCs w:val="20"/>
        </w:rPr>
        <w:t>，护士人文修养</w:t>
      </w:r>
      <w:r>
        <w:rPr>
          <w:color w:val="000000"/>
          <w:sz w:val="20"/>
          <w:szCs w:val="20"/>
        </w:rPr>
        <w:t>A 010001（</w:t>
      </w:r>
      <w:r>
        <w:rPr>
          <w:rFonts w:hint="eastAsia"/>
          <w:color w:val="000000"/>
          <w:sz w:val="20"/>
          <w:szCs w:val="20"/>
        </w:rPr>
        <w:t>1.5</w:t>
      </w:r>
      <w:r>
        <w:rPr>
          <w:color w:val="000000"/>
          <w:sz w:val="20"/>
          <w:szCs w:val="20"/>
        </w:rPr>
        <w:t>）</w:t>
      </w:r>
      <w:r>
        <w:rPr>
          <w:rFonts w:hint="eastAsia"/>
          <w:color w:val="000000"/>
          <w:sz w:val="20"/>
          <w:szCs w:val="20"/>
        </w:rPr>
        <w:t>，护理伦理学</w:t>
      </w:r>
      <w:r>
        <w:rPr>
          <w:color w:val="000000"/>
          <w:sz w:val="20"/>
          <w:szCs w:val="20"/>
        </w:rPr>
        <w:t>A 010001（</w:t>
      </w:r>
      <w:r>
        <w:rPr>
          <w:rFonts w:hint="eastAsia"/>
          <w:color w:val="000000"/>
          <w:sz w:val="20"/>
          <w:szCs w:val="20"/>
        </w:rPr>
        <w:t>1</w:t>
      </w:r>
      <w:r>
        <w:rPr>
          <w:color w:val="000000"/>
          <w:sz w:val="20"/>
          <w:szCs w:val="20"/>
        </w:rPr>
        <w:t>）</w:t>
      </w:r>
      <w:r>
        <w:rPr>
          <w:rFonts w:hint="eastAsia"/>
          <w:color w:val="000000"/>
          <w:sz w:val="20"/>
          <w:szCs w:val="20"/>
        </w:rPr>
        <w:t>，护理心理学</w:t>
      </w:r>
      <w:r>
        <w:rPr>
          <w:color w:val="000000"/>
          <w:sz w:val="20"/>
          <w:szCs w:val="20"/>
        </w:rPr>
        <w:t>A 010001（</w:t>
      </w:r>
      <w:r>
        <w:rPr>
          <w:rFonts w:hint="eastAsia"/>
          <w:color w:val="000000"/>
          <w:sz w:val="20"/>
          <w:szCs w:val="20"/>
        </w:rPr>
        <w:t>1.5</w:t>
      </w:r>
      <w:r>
        <w:rPr>
          <w:color w:val="000000"/>
          <w:sz w:val="20"/>
          <w:szCs w:val="20"/>
        </w:rPr>
        <w:t>）</w:t>
      </w:r>
      <w:r>
        <w:rPr>
          <w:rFonts w:hint="eastAsia"/>
          <w:color w:val="000000"/>
          <w:sz w:val="20"/>
          <w:szCs w:val="20"/>
        </w:rPr>
        <w:t>，基础护理学1</w:t>
      </w:r>
      <w:r>
        <w:rPr>
          <w:color w:val="000000"/>
          <w:sz w:val="20"/>
          <w:szCs w:val="20"/>
        </w:rPr>
        <w:t>A 010001（</w:t>
      </w:r>
      <w:r>
        <w:rPr>
          <w:rFonts w:hint="eastAsia"/>
          <w:color w:val="000000"/>
          <w:sz w:val="20"/>
          <w:szCs w:val="20"/>
        </w:rPr>
        <w:t>4</w:t>
      </w:r>
      <w:r>
        <w:rPr>
          <w:color w:val="000000"/>
          <w:sz w:val="20"/>
          <w:szCs w:val="20"/>
        </w:rPr>
        <w:t>）】</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88" w:lineRule="auto"/>
        <w:ind w:firstLine="400" w:firstLineChars="200"/>
        <w:rPr>
          <w:color w:val="000000"/>
          <w:sz w:val="20"/>
          <w:szCs w:val="20"/>
        </w:rPr>
      </w:pPr>
      <w:r>
        <w:rPr>
          <w:rFonts w:hint="eastAsia"/>
          <w:color w:val="000000"/>
          <w:sz w:val="20"/>
          <w:szCs w:val="20"/>
        </w:rPr>
        <w:t>《基础护理学2》是护理学科的基础，是护理学专业课程体系中最基本、最重要的课程之一，也是护理学专业学生（以下简称护生）在学校学习期间的必修课程，在护理教育教学中发挥着重要的作用。《基础护理学2》是护生学习临床专业课（如《内科护理学》、《外科护理学》、《妇产科护理学》、《儿科护理学》等）的必备前期课程，为临床各专科护理提供了必要的基础知识和基本技能。在《基础护理学2》的课程中，护生将学习从事护理工作所必需的护理基本理论、基本知识和基本技能，其内容包括病人的生活护理、满足病人治疗需要的护理、病人病情变化的观察技术和健康教育技术等。</w:t>
      </w:r>
    </w:p>
    <w:p>
      <w:pPr>
        <w:snapToGrid w:val="0"/>
        <w:spacing w:line="288" w:lineRule="auto"/>
        <w:ind w:firstLine="400" w:firstLineChars="200"/>
        <w:rPr>
          <w:color w:val="000000"/>
          <w:sz w:val="20"/>
          <w:szCs w:val="20"/>
        </w:rPr>
      </w:pPr>
      <w:r>
        <w:rPr>
          <w:rFonts w:hint="eastAsia"/>
          <w:color w:val="000000"/>
          <w:sz w:val="20"/>
          <w:szCs w:val="20"/>
        </w:rPr>
        <w:t>《基础护理学2》课程的基本任务是以培养护生良好的职业道德和职业情感为核心，使护生树立整体护理的观念，掌握《基础护理学2》中的基本理论知识和基本操作技能并将所学的知识和技能灵活地运用于临床护理实践中，履行护理人员的角色和功能，实现“促进健康、预防疾病、恢复健康和减轻痛苦”的护理目标。</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color w:val="000000"/>
          <w:sz w:val="20"/>
          <w:szCs w:val="20"/>
        </w:rPr>
        <w:t>该课程适合</w:t>
      </w:r>
      <w:r>
        <w:rPr>
          <w:rFonts w:hint="eastAsia"/>
          <w:color w:val="000000"/>
          <w:sz w:val="20"/>
          <w:szCs w:val="20"/>
        </w:rPr>
        <w:t>于护理学本科</w:t>
      </w:r>
      <w:r>
        <w:rPr>
          <w:color w:val="000000"/>
          <w:sz w:val="20"/>
          <w:szCs w:val="20"/>
        </w:rPr>
        <w:t>专业、</w:t>
      </w:r>
      <w:r>
        <w:rPr>
          <w:rFonts w:hint="eastAsia"/>
          <w:color w:val="000000"/>
          <w:sz w:val="20"/>
          <w:szCs w:val="20"/>
        </w:rPr>
        <w:t>三</w:t>
      </w:r>
      <w:r>
        <w:rPr>
          <w:color w:val="000000"/>
          <w:sz w:val="20"/>
          <w:szCs w:val="20"/>
        </w:rPr>
        <w:t>年级</w:t>
      </w:r>
      <w:r>
        <w:rPr>
          <w:rFonts w:hint="eastAsia"/>
          <w:color w:val="000000"/>
          <w:sz w:val="20"/>
          <w:szCs w:val="20"/>
        </w:rPr>
        <w:t>上学期开设</w:t>
      </w:r>
      <w:r>
        <w:rPr>
          <w:color w:val="000000"/>
          <w:sz w:val="20"/>
          <w:szCs w:val="20"/>
        </w:rPr>
        <w:t>、</w:t>
      </w:r>
      <w:r>
        <w:rPr>
          <w:rFonts w:hint="eastAsia"/>
          <w:color w:val="000000"/>
          <w:sz w:val="20"/>
          <w:szCs w:val="20"/>
        </w:rPr>
        <w:t>学生需要对专业有一定的认识并初步具有一定的职业情感，而且需要具备《基础护理学1》的理论和基本知识</w:t>
      </w:r>
      <w:r>
        <w:rPr>
          <w:color w:val="000000"/>
          <w:sz w:val="20"/>
          <w:szCs w:val="20"/>
        </w:rPr>
        <w:t>。</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5"/>
        <w:tblpPr w:leftFromText="180" w:rightFromText="180" w:vertAnchor="text" w:horzAnchor="page" w:tblpX="2375" w:tblpY="242"/>
        <w:tblOverlap w:val="never"/>
        <w:tblW w:w="7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5"/>
        <w:gridCol w:w="4794"/>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9" w:type="dxa"/>
            <w:gridSpan w:val="2"/>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688"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2295" w:type="dxa"/>
            <w:vMerge w:val="restart"/>
            <w:vAlign w:val="center"/>
          </w:tcPr>
          <w:p>
            <w:pPr>
              <w:rPr>
                <w:kern w:val="0"/>
                <w:sz w:val="20"/>
                <w:szCs w:val="20"/>
              </w:rPr>
            </w:pPr>
            <w:r>
              <w:rPr>
                <w:rFonts w:hint="eastAsia" w:ascii="仿宋" w:hAnsi="仿宋" w:eastAsia="仿宋" w:cs="宋体"/>
                <w:color w:val="000000"/>
                <w:kern w:val="0"/>
                <w:sz w:val="24"/>
                <w:szCs w:val="24"/>
              </w:rPr>
              <w:t>LO11：表达沟通</w:t>
            </w:r>
          </w:p>
        </w:tc>
        <w:tc>
          <w:tcPr>
            <w:tcW w:w="4794" w:type="dxa"/>
            <w:vAlign w:val="center"/>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LO111 尊重护理对象的价值观、文化习俗、个人信仰和权利。</w:t>
            </w:r>
          </w:p>
        </w:tc>
        <w:tc>
          <w:tcPr>
            <w:tcW w:w="688"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2295" w:type="dxa"/>
            <w:vMerge w:val="continue"/>
            <w:vAlign w:val="center"/>
          </w:tcPr>
          <w:p>
            <w:pPr>
              <w:rPr>
                <w:rFonts w:ascii="仿宋" w:hAnsi="仿宋" w:eastAsia="仿宋" w:cs="宋体"/>
                <w:color w:val="000000"/>
                <w:kern w:val="0"/>
                <w:sz w:val="24"/>
                <w:szCs w:val="24"/>
              </w:rPr>
            </w:pPr>
          </w:p>
        </w:tc>
        <w:tc>
          <w:tcPr>
            <w:tcW w:w="4794" w:type="dxa"/>
            <w:vAlign w:val="center"/>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LO112 具有在护理专业实践中有效沟通与合作的能力。</w:t>
            </w:r>
          </w:p>
        </w:tc>
        <w:tc>
          <w:tcPr>
            <w:tcW w:w="688"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2295" w:type="dxa"/>
            <w:vMerge w:val="restart"/>
            <w:vAlign w:val="center"/>
          </w:tcPr>
          <w:p>
            <w:pPr>
              <w:widowControl/>
              <w:rPr>
                <w:kern w:val="0"/>
                <w:sz w:val="20"/>
                <w:szCs w:val="20"/>
              </w:rPr>
            </w:pPr>
            <w:r>
              <w:rPr>
                <w:rFonts w:hint="eastAsia" w:ascii="仿宋" w:hAnsi="仿宋" w:eastAsia="仿宋" w:cs="宋体"/>
                <w:color w:val="000000"/>
                <w:kern w:val="0"/>
                <w:sz w:val="24"/>
                <w:szCs w:val="24"/>
              </w:rPr>
              <w:t>LO21：自主学习</w:t>
            </w:r>
          </w:p>
        </w:tc>
        <w:tc>
          <w:tcPr>
            <w:tcW w:w="4794" w:type="dxa"/>
            <w:vAlign w:val="center"/>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LO211 树立终身学习的观念，具有主动获取新知识、不断进行自我完善和推动专业发展的态度。</w:t>
            </w:r>
          </w:p>
        </w:tc>
        <w:tc>
          <w:tcPr>
            <w:tcW w:w="688" w:type="dxa"/>
            <w:vAlign w:val="center"/>
          </w:tcPr>
          <w:p>
            <w:pPr>
              <w:widowControl/>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2295" w:type="dxa"/>
            <w:vMerge w:val="continue"/>
            <w:vAlign w:val="center"/>
          </w:tcPr>
          <w:p>
            <w:pPr>
              <w:widowControl/>
              <w:rPr>
                <w:rFonts w:ascii="仿宋" w:hAnsi="仿宋" w:eastAsia="仿宋" w:cs="宋体"/>
                <w:color w:val="000000"/>
                <w:kern w:val="0"/>
                <w:sz w:val="24"/>
                <w:szCs w:val="24"/>
              </w:rPr>
            </w:pPr>
          </w:p>
        </w:tc>
        <w:tc>
          <w:tcPr>
            <w:tcW w:w="4794" w:type="dxa"/>
            <w:vAlign w:val="center"/>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L0212 具有自主学习的基本能力，能够适应不断变化的社会健康保健需求。</w:t>
            </w:r>
          </w:p>
        </w:tc>
        <w:tc>
          <w:tcPr>
            <w:tcW w:w="688" w:type="dxa"/>
            <w:vAlign w:val="center"/>
          </w:tcPr>
          <w:p>
            <w:pPr>
              <w:widowControl/>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2295" w:type="dxa"/>
            <w:vMerge w:val="restart"/>
            <w:vAlign w:val="center"/>
          </w:tcPr>
          <w:p>
            <w:pPr>
              <w:widowControl/>
              <w:rPr>
                <w:kern w:val="0"/>
                <w:sz w:val="20"/>
                <w:szCs w:val="20"/>
              </w:rPr>
            </w:pPr>
            <w:r>
              <w:rPr>
                <w:rFonts w:hint="eastAsia" w:ascii="仿宋" w:hAnsi="仿宋" w:eastAsia="仿宋" w:cs="宋体"/>
                <w:color w:val="000000"/>
                <w:kern w:val="0"/>
                <w:sz w:val="24"/>
                <w:szCs w:val="24"/>
              </w:rPr>
              <w:t>LO31：专业基础能力</w:t>
            </w:r>
          </w:p>
        </w:tc>
        <w:tc>
          <w:tcPr>
            <w:tcW w:w="4794" w:type="dxa"/>
            <w:vAlign w:val="center"/>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LO311具有与护理学相关的自然科学、人文社会科学的基础知识和科学方法。</w:t>
            </w:r>
          </w:p>
        </w:tc>
        <w:tc>
          <w:tcPr>
            <w:tcW w:w="68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295" w:type="dxa"/>
            <w:vMerge w:val="continue"/>
            <w:vAlign w:val="center"/>
          </w:tcPr>
          <w:p>
            <w:pPr>
              <w:widowControl/>
              <w:rPr>
                <w:rFonts w:ascii="仿宋" w:hAnsi="仿宋" w:eastAsia="仿宋" w:cs="宋体"/>
                <w:color w:val="000000"/>
                <w:kern w:val="0"/>
                <w:sz w:val="24"/>
                <w:szCs w:val="24"/>
              </w:rPr>
            </w:pPr>
          </w:p>
        </w:tc>
        <w:tc>
          <w:tcPr>
            <w:tcW w:w="479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LO312具有人体正常结构、功能、人的心理状态及其发展变化的知识。</w:t>
            </w:r>
          </w:p>
        </w:tc>
        <w:tc>
          <w:tcPr>
            <w:tcW w:w="68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2295" w:type="dxa"/>
            <w:vMerge w:val="continue"/>
            <w:vAlign w:val="center"/>
          </w:tcPr>
          <w:p>
            <w:pPr>
              <w:widowControl/>
              <w:rPr>
                <w:rFonts w:ascii="仿宋" w:hAnsi="仿宋" w:eastAsia="仿宋" w:cs="宋体"/>
                <w:color w:val="000000"/>
                <w:kern w:val="0"/>
                <w:sz w:val="24"/>
                <w:szCs w:val="24"/>
              </w:rPr>
            </w:pPr>
          </w:p>
        </w:tc>
        <w:tc>
          <w:tcPr>
            <w:tcW w:w="479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LO313具有基本的药理知识和临床用药及药品管理知识。</w:t>
            </w:r>
          </w:p>
        </w:tc>
        <w:tc>
          <w:tcPr>
            <w:tcW w:w="68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2295" w:type="dxa"/>
            <w:vMerge w:val="continue"/>
            <w:vAlign w:val="center"/>
          </w:tcPr>
          <w:p>
            <w:pPr>
              <w:widowControl/>
              <w:rPr>
                <w:rFonts w:ascii="仿宋" w:hAnsi="仿宋" w:eastAsia="仿宋" w:cs="宋体"/>
                <w:color w:val="000000"/>
                <w:kern w:val="0"/>
                <w:sz w:val="24"/>
                <w:szCs w:val="24"/>
              </w:rPr>
            </w:pPr>
          </w:p>
        </w:tc>
        <w:tc>
          <w:tcPr>
            <w:tcW w:w="479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LO314具有护理学基础理论和基本知识。</w:t>
            </w:r>
          </w:p>
        </w:tc>
        <w:tc>
          <w:tcPr>
            <w:tcW w:w="688" w:type="dxa"/>
            <w:vAlign w:val="center"/>
          </w:tcPr>
          <w:p>
            <w:pPr>
              <w:widowControl/>
              <w:jc w:val="center"/>
              <w:rPr>
                <w:rFonts w:ascii="仿宋" w:hAnsi="仿宋" w:eastAsia="仿宋" w:cs="仿宋"/>
                <w:color w:val="000000"/>
                <w:kern w:val="0"/>
                <w:sz w:val="24"/>
                <w:szCs w:val="20"/>
              </w:rPr>
            </w:pPr>
            <w:r>
              <w:rPr>
                <w:rFonts w:hint="eastAsia" w:ascii="仿宋" w:hAnsi="仿宋" w:eastAsia="仿宋" w:cs="仿宋"/>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2295" w:type="dxa"/>
            <w:vMerge w:val="restart"/>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LO32：临床护理能力</w:t>
            </w:r>
          </w:p>
        </w:tc>
        <w:tc>
          <w:tcPr>
            <w:tcW w:w="479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LO321具有运用多学科知识进行护理评估，制定护理计划并对护理对象实施整体护理的基本能力。</w:t>
            </w:r>
          </w:p>
        </w:tc>
        <w:tc>
          <w:tcPr>
            <w:tcW w:w="68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295" w:type="dxa"/>
            <w:vMerge w:val="continue"/>
            <w:vAlign w:val="center"/>
          </w:tcPr>
          <w:p>
            <w:pPr>
              <w:widowControl/>
              <w:rPr>
                <w:rFonts w:ascii="仿宋" w:hAnsi="仿宋" w:eastAsia="仿宋" w:cs="宋体"/>
                <w:color w:val="000000"/>
                <w:kern w:val="0"/>
                <w:sz w:val="24"/>
                <w:szCs w:val="24"/>
              </w:rPr>
            </w:pPr>
          </w:p>
        </w:tc>
        <w:tc>
          <w:tcPr>
            <w:tcW w:w="479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LO322掌握基础护理技术、急救护理技术、专科护理基本技术和具有配合实施常用诊疗技术的能力。</w:t>
            </w:r>
          </w:p>
        </w:tc>
        <w:tc>
          <w:tcPr>
            <w:tcW w:w="688" w:type="dxa"/>
            <w:vAlign w:val="center"/>
          </w:tcPr>
          <w:p>
            <w:pPr>
              <w:widowControl/>
              <w:jc w:val="center"/>
              <w:rPr>
                <w:rFonts w:ascii="仿宋" w:hAnsi="仿宋" w:eastAsia="仿宋" w:cs="宋体"/>
                <w:color w:val="000000"/>
                <w:kern w:val="0"/>
                <w:sz w:val="24"/>
                <w:szCs w:val="20"/>
              </w:rPr>
            </w:pPr>
            <w:r>
              <w:rPr>
                <w:rFonts w:hint="eastAsia" w:ascii="仿宋" w:hAnsi="仿宋" w:eastAsia="仿宋" w:cs="仿宋"/>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295" w:type="dxa"/>
            <w:vMerge w:val="continue"/>
            <w:vAlign w:val="center"/>
          </w:tcPr>
          <w:p>
            <w:pPr>
              <w:widowControl/>
              <w:rPr>
                <w:rFonts w:ascii="仿宋" w:hAnsi="仿宋" w:eastAsia="仿宋" w:cs="宋体"/>
                <w:color w:val="000000"/>
                <w:kern w:val="0"/>
                <w:sz w:val="24"/>
                <w:szCs w:val="24"/>
              </w:rPr>
            </w:pPr>
          </w:p>
        </w:tc>
        <w:tc>
          <w:tcPr>
            <w:tcW w:w="479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LO323具有生命各阶段常见病、多发病的护理知识及病情观察和护理能力。</w:t>
            </w:r>
          </w:p>
        </w:tc>
        <w:tc>
          <w:tcPr>
            <w:tcW w:w="68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295" w:type="dxa"/>
            <w:vMerge w:val="continue"/>
            <w:vAlign w:val="center"/>
          </w:tcPr>
          <w:p>
            <w:pPr>
              <w:widowControl/>
              <w:rPr>
                <w:rFonts w:ascii="仿宋" w:hAnsi="仿宋" w:eastAsia="仿宋" w:cs="宋体"/>
                <w:color w:val="000000"/>
                <w:kern w:val="0"/>
                <w:sz w:val="24"/>
                <w:szCs w:val="24"/>
              </w:rPr>
            </w:pPr>
          </w:p>
        </w:tc>
        <w:tc>
          <w:tcPr>
            <w:tcW w:w="479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LO324具有急危重症护理对象的护理知识及配合急危重症的抢救和突发事件的应急救护的初步能力。</w:t>
            </w:r>
          </w:p>
        </w:tc>
        <w:tc>
          <w:tcPr>
            <w:tcW w:w="68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LO33：社区护理能力</w:t>
            </w:r>
          </w:p>
        </w:tc>
        <w:tc>
          <w:tcPr>
            <w:tcW w:w="479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具有从事社区护理的基本能力，能在各种环境中为个体、家庭、社区提供与其文化相一致的健康保健服务。</w:t>
            </w:r>
          </w:p>
        </w:tc>
        <w:tc>
          <w:tcPr>
            <w:tcW w:w="68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LO34：</w:t>
            </w:r>
            <w:r>
              <w:rPr>
                <w:rFonts w:ascii="仿宋" w:hAnsi="仿宋" w:eastAsia="仿宋" w:cs="宋体"/>
                <w:color w:val="000000"/>
                <w:kern w:val="0"/>
                <w:sz w:val="24"/>
                <w:szCs w:val="24"/>
              </w:rPr>
              <w:t>临床教学能力</w:t>
            </w:r>
          </w:p>
        </w:tc>
        <w:tc>
          <w:tcPr>
            <w:tcW w:w="479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具有初步从事临床教学的能力。</w:t>
            </w:r>
          </w:p>
        </w:tc>
        <w:tc>
          <w:tcPr>
            <w:tcW w:w="68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2295" w:type="dxa"/>
            <w:vMerge w:val="restart"/>
            <w:vAlign w:val="center"/>
          </w:tcPr>
          <w:p>
            <w:pPr>
              <w:widowControl/>
              <w:rPr>
                <w:kern w:val="0"/>
                <w:sz w:val="20"/>
                <w:szCs w:val="20"/>
              </w:rPr>
            </w:pPr>
            <w:r>
              <w:rPr>
                <w:rFonts w:hint="eastAsia" w:ascii="仿宋" w:hAnsi="仿宋" w:eastAsia="仿宋" w:cs="宋体"/>
                <w:color w:val="000000"/>
                <w:kern w:val="0"/>
                <w:sz w:val="24"/>
                <w:szCs w:val="24"/>
              </w:rPr>
              <w:t>LO41：</w:t>
            </w:r>
            <w:r>
              <w:rPr>
                <w:rFonts w:ascii="仿宋" w:hAnsi="仿宋" w:eastAsia="仿宋" w:cs="宋体"/>
                <w:color w:val="000000"/>
                <w:kern w:val="0"/>
                <w:sz w:val="24"/>
                <w:szCs w:val="24"/>
              </w:rPr>
              <w:t>尽责抗压</w:t>
            </w:r>
          </w:p>
        </w:tc>
        <w:tc>
          <w:tcPr>
            <w:tcW w:w="479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L0411 对护理学科有正确的认识，对其发展具有责任感。</w:t>
            </w:r>
          </w:p>
        </w:tc>
        <w:tc>
          <w:tcPr>
            <w:tcW w:w="68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2295" w:type="dxa"/>
            <w:vMerge w:val="continue"/>
            <w:vAlign w:val="center"/>
          </w:tcPr>
          <w:p>
            <w:pPr>
              <w:widowControl/>
              <w:rPr>
                <w:rFonts w:ascii="仿宋" w:hAnsi="仿宋" w:eastAsia="仿宋" w:cs="宋体"/>
                <w:color w:val="000000"/>
                <w:kern w:val="0"/>
                <w:sz w:val="24"/>
                <w:szCs w:val="24"/>
              </w:rPr>
            </w:pPr>
          </w:p>
        </w:tc>
        <w:tc>
          <w:tcPr>
            <w:tcW w:w="479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L0412 具有科学精神、慎独修养、严谨求实的工作态度和符合职业道德标准的职业行为。</w:t>
            </w:r>
          </w:p>
        </w:tc>
        <w:tc>
          <w:tcPr>
            <w:tcW w:w="68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2295" w:type="dxa"/>
            <w:vMerge w:val="continue"/>
            <w:vAlign w:val="center"/>
          </w:tcPr>
          <w:p>
            <w:pPr>
              <w:widowControl/>
              <w:rPr>
                <w:rFonts w:ascii="仿宋" w:hAnsi="仿宋" w:eastAsia="仿宋" w:cs="宋体"/>
                <w:color w:val="000000"/>
                <w:kern w:val="0"/>
                <w:sz w:val="24"/>
                <w:szCs w:val="24"/>
              </w:rPr>
            </w:pPr>
          </w:p>
        </w:tc>
        <w:tc>
          <w:tcPr>
            <w:tcW w:w="479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LO413 树立依法行护的法律观念，遵从医疗护理相关法规，自觉将专业行为纳入法律和伦理允许的范围内，具有运用相关法规保护护理对象和自身权益的意识。</w:t>
            </w:r>
          </w:p>
        </w:tc>
        <w:tc>
          <w:tcPr>
            <w:tcW w:w="68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295" w:type="dxa"/>
            <w:vMerge w:val="continue"/>
            <w:vAlign w:val="center"/>
          </w:tcPr>
          <w:p>
            <w:pPr>
              <w:widowControl/>
              <w:rPr>
                <w:rFonts w:ascii="仿宋" w:hAnsi="仿宋" w:eastAsia="仿宋" w:cs="宋体"/>
                <w:color w:val="000000"/>
                <w:kern w:val="0"/>
                <w:sz w:val="24"/>
                <w:szCs w:val="24"/>
              </w:rPr>
            </w:pPr>
          </w:p>
        </w:tc>
        <w:tc>
          <w:tcPr>
            <w:tcW w:w="479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LO414 在应用各种护理技术时应充分考虑护理对象及家属权益，对于不能胜任或不能安全处理的护理问题，应具有寻求上级护士帮助的意识。</w:t>
            </w:r>
          </w:p>
        </w:tc>
        <w:tc>
          <w:tcPr>
            <w:tcW w:w="68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295" w:type="dxa"/>
            <w:vMerge w:val="restart"/>
            <w:vAlign w:val="center"/>
          </w:tcPr>
          <w:p>
            <w:pPr>
              <w:widowControl/>
              <w:rPr>
                <w:kern w:val="0"/>
                <w:sz w:val="20"/>
                <w:szCs w:val="20"/>
              </w:rPr>
            </w:pPr>
            <w:r>
              <w:rPr>
                <w:rFonts w:hint="eastAsia" w:ascii="仿宋" w:hAnsi="仿宋" w:eastAsia="仿宋" w:cs="宋体"/>
                <w:color w:val="000000"/>
                <w:kern w:val="0"/>
                <w:sz w:val="24"/>
                <w:szCs w:val="24"/>
              </w:rPr>
              <w:t>LO51：协同创新</w:t>
            </w:r>
          </w:p>
        </w:tc>
        <w:tc>
          <w:tcPr>
            <w:tcW w:w="479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L0511 尊重同事和其他卫生保健专业人员，具有良好的团队精神和跨学科合作的意识。</w:t>
            </w:r>
          </w:p>
        </w:tc>
        <w:tc>
          <w:tcPr>
            <w:tcW w:w="68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2295" w:type="dxa"/>
            <w:vMerge w:val="continue"/>
            <w:vAlign w:val="center"/>
          </w:tcPr>
          <w:p>
            <w:pPr>
              <w:widowControl/>
              <w:rPr>
                <w:rFonts w:ascii="仿宋" w:hAnsi="仿宋" w:eastAsia="仿宋" w:cs="宋体"/>
                <w:color w:val="000000"/>
                <w:kern w:val="0"/>
                <w:sz w:val="24"/>
                <w:szCs w:val="24"/>
              </w:rPr>
            </w:pPr>
          </w:p>
        </w:tc>
        <w:tc>
          <w:tcPr>
            <w:tcW w:w="479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L0512 具有创新精神和创业意识。</w:t>
            </w:r>
          </w:p>
        </w:tc>
        <w:tc>
          <w:tcPr>
            <w:tcW w:w="68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2295" w:type="dxa"/>
            <w:vMerge w:val="continue"/>
            <w:vAlign w:val="center"/>
          </w:tcPr>
          <w:p>
            <w:pPr>
              <w:widowControl/>
              <w:rPr>
                <w:rFonts w:ascii="仿宋" w:hAnsi="仿宋" w:eastAsia="仿宋" w:cs="宋体"/>
                <w:color w:val="000000"/>
                <w:kern w:val="0"/>
                <w:sz w:val="24"/>
                <w:szCs w:val="24"/>
              </w:rPr>
            </w:pPr>
          </w:p>
        </w:tc>
        <w:tc>
          <w:tcPr>
            <w:tcW w:w="479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L0513 初步形成科学的质疑态度和评判反思精神，具有循证实践、勇于修正自己或他人错误的态度。</w:t>
            </w:r>
          </w:p>
        </w:tc>
        <w:tc>
          <w:tcPr>
            <w:tcW w:w="68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2295" w:type="dxa"/>
            <w:vMerge w:val="continue"/>
            <w:vAlign w:val="center"/>
          </w:tcPr>
          <w:p>
            <w:pPr>
              <w:widowControl/>
              <w:rPr>
                <w:rFonts w:ascii="仿宋" w:hAnsi="仿宋" w:eastAsia="仿宋" w:cs="宋体"/>
                <w:color w:val="000000"/>
                <w:kern w:val="0"/>
                <w:sz w:val="24"/>
                <w:szCs w:val="24"/>
              </w:rPr>
            </w:pPr>
          </w:p>
        </w:tc>
        <w:tc>
          <w:tcPr>
            <w:tcW w:w="479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L0514 具有初步运用评判性思维和临床决策的能力，以保证安全有效的专业实践。</w:t>
            </w:r>
          </w:p>
        </w:tc>
        <w:tc>
          <w:tcPr>
            <w:tcW w:w="68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95" w:type="dxa"/>
            <w:vAlign w:val="center"/>
          </w:tcPr>
          <w:p>
            <w:pPr>
              <w:widowControl/>
              <w:rPr>
                <w:kern w:val="0"/>
                <w:sz w:val="20"/>
                <w:szCs w:val="20"/>
              </w:rPr>
            </w:pPr>
            <w:r>
              <w:rPr>
                <w:rFonts w:hint="eastAsia" w:ascii="仿宋" w:hAnsi="仿宋" w:eastAsia="仿宋" w:cs="宋体"/>
                <w:color w:val="000000"/>
                <w:kern w:val="0"/>
                <w:sz w:val="24"/>
                <w:szCs w:val="24"/>
              </w:rPr>
              <w:t>LO61：信息应用</w:t>
            </w:r>
          </w:p>
        </w:tc>
        <w:tc>
          <w:tcPr>
            <w:tcW w:w="479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掌握文献检索、资料收集的基本方法，具有运用现代信息技术有效获取和利用护理学专业信息，研究护理问题的基本技能。</w:t>
            </w:r>
          </w:p>
        </w:tc>
        <w:tc>
          <w:tcPr>
            <w:tcW w:w="68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295" w:type="dxa"/>
            <w:vMerge w:val="restart"/>
            <w:vAlign w:val="center"/>
          </w:tcPr>
          <w:p>
            <w:pPr>
              <w:widowControl/>
              <w:rPr>
                <w:kern w:val="0"/>
                <w:sz w:val="20"/>
                <w:szCs w:val="20"/>
              </w:rPr>
            </w:pPr>
            <w:r>
              <w:rPr>
                <w:rFonts w:hint="eastAsia" w:ascii="仿宋" w:hAnsi="仿宋" w:eastAsia="仿宋" w:cs="宋体"/>
                <w:color w:val="000000"/>
                <w:kern w:val="0"/>
                <w:sz w:val="24"/>
                <w:szCs w:val="24"/>
              </w:rPr>
              <w:t>LO71：</w:t>
            </w:r>
            <w:r>
              <w:rPr>
                <w:rFonts w:ascii="仿宋" w:hAnsi="仿宋" w:eastAsia="仿宋" w:cs="宋体"/>
                <w:color w:val="000000"/>
                <w:kern w:val="0"/>
                <w:sz w:val="24"/>
                <w:szCs w:val="24"/>
              </w:rPr>
              <w:t>服务关爱</w:t>
            </w:r>
          </w:p>
        </w:tc>
        <w:tc>
          <w:tcPr>
            <w:tcW w:w="4794" w:type="dxa"/>
            <w:vAlign w:val="center"/>
          </w:tcPr>
          <w:p>
            <w:pPr>
              <w:widowControl/>
              <w:rPr>
                <w:rFonts w:ascii="仿宋" w:hAnsi="仿宋" w:eastAsia="仿宋" w:cs="宋体"/>
                <w:color w:val="000000"/>
                <w:kern w:val="0"/>
                <w:sz w:val="24"/>
                <w:szCs w:val="24"/>
              </w:rPr>
            </w:pPr>
            <w:r>
              <w:rPr>
                <w:rFonts w:ascii="仿宋" w:hAnsi="仿宋" w:eastAsia="仿宋" w:cs="宋体"/>
                <w:color w:val="000000"/>
                <w:kern w:val="0"/>
                <w:sz w:val="24"/>
                <w:szCs w:val="24"/>
              </w:rPr>
              <w:t>LO711 树立科学的世界观和人生观，热爱祖国，忠于人民，初步形成以维护和促进人类健康为己任的专业价值观。</w:t>
            </w:r>
          </w:p>
        </w:tc>
        <w:tc>
          <w:tcPr>
            <w:tcW w:w="68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2295" w:type="dxa"/>
            <w:vMerge w:val="continue"/>
            <w:vAlign w:val="center"/>
          </w:tcPr>
          <w:p>
            <w:pPr>
              <w:widowControl/>
              <w:rPr>
                <w:rFonts w:ascii="仿宋" w:hAnsi="仿宋" w:eastAsia="仿宋" w:cs="宋体"/>
                <w:color w:val="000000"/>
                <w:kern w:val="0"/>
                <w:sz w:val="24"/>
                <w:szCs w:val="24"/>
              </w:rPr>
            </w:pPr>
          </w:p>
        </w:tc>
        <w:tc>
          <w:tcPr>
            <w:tcW w:w="4794" w:type="dxa"/>
            <w:vAlign w:val="center"/>
          </w:tcPr>
          <w:p>
            <w:pPr>
              <w:widowControl/>
              <w:rPr>
                <w:rFonts w:ascii="仿宋" w:hAnsi="仿宋" w:eastAsia="仿宋" w:cs="宋体"/>
                <w:color w:val="000000"/>
                <w:kern w:val="0"/>
                <w:sz w:val="24"/>
                <w:szCs w:val="24"/>
              </w:rPr>
            </w:pPr>
            <w:r>
              <w:rPr>
                <w:rFonts w:ascii="仿宋" w:hAnsi="仿宋" w:eastAsia="仿宋" w:cs="宋体"/>
                <w:color w:val="000000"/>
                <w:kern w:val="0"/>
                <w:sz w:val="24"/>
                <w:szCs w:val="24"/>
              </w:rPr>
              <w:t>LO712 关爱生命，平等、博爱，体现人道主义精神和全心全意为护理对象的健康服务的专业精神。</w:t>
            </w:r>
          </w:p>
        </w:tc>
        <w:tc>
          <w:tcPr>
            <w:tcW w:w="688" w:type="dxa"/>
            <w:vAlign w:val="center"/>
          </w:tcPr>
          <w:p>
            <w:pPr>
              <w:widowControl/>
              <w:jc w:val="center"/>
              <w:rPr>
                <w:rFonts w:ascii="仿宋" w:hAnsi="仿宋" w:eastAsia="仿宋" w:cs="宋体"/>
                <w:color w:val="000000"/>
                <w:kern w:val="0"/>
                <w:sz w:val="24"/>
                <w:szCs w:val="20"/>
              </w:rPr>
            </w:pPr>
            <w:r>
              <w:rPr>
                <w:rFonts w:hint="eastAsia" w:ascii="仿宋" w:hAnsi="仿宋" w:eastAsia="仿宋" w:cs="仿宋"/>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2295" w:type="dxa"/>
            <w:vMerge w:val="restart"/>
            <w:vAlign w:val="center"/>
          </w:tcPr>
          <w:p>
            <w:pPr>
              <w:widowControl/>
              <w:rPr>
                <w:kern w:val="0"/>
                <w:sz w:val="20"/>
                <w:szCs w:val="20"/>
              </w:rPr>
            </w:pPr>
            <w:r>
              <w:rPr>
                <w:rFonts w:hint="eastAsia" w:ascii="仿宋" w:hAnsi="仿宋" w:eastAsia="仿宋" w:cs="宋体"/>
                <w:color w:val="000000"/>
                <w:kern w:val="0"/>
                <w:sz w:val="24"/>
                <w:szCs w:val="24"/>
              </w:rPr>
              <w:t>LO81：</w:t>
            </w:r>
            <w:r>
              <w:rPr>
                <w:rFonts w:ascii="仿宋" w:hAnsi="仿宋" w:eastAsia="仿宋" w:cs="宋体"/>
                <w:color w:val="000000"/>
                <w:kern w:val="0"/>
                <w:sz w:val="24"/>
                <w:szCs w:val="24"/>
              </w:rPr>
              <w:t>国际视野</w:t>
            </w:r>
          </w:p>
        </w:tc>
        <w:tc>
          <w:tcPr>
            <w:tcW w:w="4794" w:type="dxa"/>
            <w:vAlign w:val="center"/>
          </w:tcPr>
          <w:p>
            <w:pPr>
              <w:widowControl/>
              <w:rPr>
                <w:rFonts w:ascii="仿宋" w:hAnsi="仿宋" w:eastAsia="仿宋" w:cs="宋体"/>
                <w:color w:val="000000"/>
                <w:kern w:val="0"/>
                <w:sz w:val="24"/>
                <w:szCs w:val="24"/>
              </w:rPr>
            </w:pPr>
            <w:r>
              <w:rPr>
                <w:rFonts w:ascii="仿宋" w:hAnsi="仿宋" w:eastAsia="仿宋" w:cs="宋体"/>
                <w:color w:val="000000"/>
                <w:kern w:val="0"/>
                <w:sz w:val="24"/>
                <w:szCs w:val="24"/>
              </w:rPr>
              <w:t>LO811 具有运用一门外语阅读护理学文献和简单的会话能力。</w:t>
            </w:r>
          </w:p>
        </w:tc>
        <w:tc>
          <w:tcPr>
            <w:tcW w:w="68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2295" w:type="dxa"/>
            <w:vMerge w:val="continue"/>
            <w:vAlign w:val="center"/>
          </w:tcPr>
          <w:p>
            <w:pPr>
              <w:widowControl/>
              <w:rPr>
                <w:rFonts w:ascii="仿宋" w:hAnsi="仿宋" w:eastAsia="仿宋" w:cs="宋体"/>
                <w:color w:val="000000"/>
                <w:kern w:val="0"/>
                <w:sz w:val="24"/>
                <w:szCs w:val="24"/>
              </w:rPr>
            </w:pPr>
          </w:p>
        </w:tc>
        <w:tc>
          <w:tcPr>
            <w:tcW w:w="4794" w:type="dxa"/>
            <w:vAlign w:val="center"/>
          </w:tcPr>
          <w:p>
            <w:pPr>
              <w:widowControl/>
              <w:rPr>
                <w:rFonts w:ascii="仿宋" w:hAnsi="仿宋" w:eastAsia="仿宋" w:cs="宋体"/>
                <w:color w:val="000000"/>
                <w:kern w:val="0"/>
                <w:sz w:val="24"/>
                <w:szCs w:val="24"/>
              </w:rPr>
            </w:pPr>
            <w:r>
              <w:rPr>
                <w:rFonts w:ascii="仿宋" w:hAnsi="仿宋" w:eastAsia="仿宋" w:cs="宋体"/>
                <w:color w:val="000000"/>
                <w:kern w:val="0"/>
                <w:sz w:val="24"/>
                <w:szCs w:val="24"/>
              </w:rPr>
              <w:t>LO812 了解护理学科的发展动态及趋势。</w:t>
            </w:r>
          </w:p>
        </w:tc>
        <w:tc>
          <w:tcPr>
            <w:tcW w:w="688" w:type="dxa"/>
            <w:vAlign w:val="center"/>
          </w:tcPr>
          <w:p>
            <w:pPr>
              <w:widowControl/>
              <w:jc w:val="center"/>
              <w:rPr>
                <w:rFonts w:ascii="仿宋" w:hAnsi="仿宋" w:eastAsia="仿宋" w:cs="宋体"/>
                <w:color w:val="000000"/>
                <w:kern w:val="0"/>
                <w:sz w:val="24"/>
                <w:szCs w:val="20"/>
              </w:rPr>
            </w:pPr>
          </w:p>
        </w:tc>
      </w:tr>
    </w:tbl>
    <w:p>
      <w:pPr>
        <w:ind w:firstLine="420" w:firstLineChars="200"/>
      </w:pPr>
      <w:r>
        <w:rPr>
          <w:rFonts w:hint="eastAsia"/>
        </w:rPr>
        <w:t>备注：LO=</w:t>
      </w:r>
      <w:r>
        <w:t>learning outcomes</w:t>
      </w:r>
      <w:r>
        <w:rPr>
          <w:rFonts w:hint="eastAsia"/>
        </w:rPr>
        <w:t>（学习成果）</w:t>
      </w:r>
    </w:p>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4"/>
        <w:tblpPr w:leftFromText="180" w:rightFromText="180" w:vertAnchor="text" w:horzAnchor="page" w:tblpX="2163" w:tblpY="152"/>
        <w:tblOverlap w:val="never"/>
        <w:tblW w:w="7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3645"/>
        <w:gridCol w:w="1321"/>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rFonts w:ascii="宋体" w:hAnsi="宋体" w:cs="宋体"/>
                <w:b/>
                <w:color w:val="000000"/>
                <w:sz w:val="20"/>
                <w:szCs w:val="20"/>
              </w:rPr>
            </w:pPr>
            <w:r>
              <w:rPr>
                <w:rFonts w:hint="eastAsia" w:ascii="宋体" w:hAnsi="宋体" w:cs="宋体"/>
                <w:b/>
                <w:color w:val="000000"/>
                <w:sz w:val="20"/>
                <w:szCs w:val="20"/>
              </w:rPr>
              <w:t>序号</w:t>
            </w:r>
          </w:p>
        </w:tc>
        <w:tc>
          <w:tcPr>
            <w:tcW w:w="1175" w:type="dxa"/>
            <w:shd w:val="clear" w:color="auto" w:fill="auto"/>
          </w:tcPr>
          <w:p>
            <w:pPr>
              <w:snapToGrid w:val="0"/>
              <w:spacing w:line="288" w:lineRule="auto"/>
              <w:jc w:val="center"/>
              <w:rPr>
                <w:rFonts w:ascii="宋体" w:hAnsi="宋体" w:cs="宋体"/>
                <w:b/>
                <w:color w:val="000000"/>
                <w:sz w:val="20"/>
                <w:szCs w:val="20"/>
              </w:rPr>
            </w:pPr>
            <w:r>
              <w:rPr>
                <w:rFonts w:hint="eastAsia" w:ascii="宋体" w:hAnsi="宋体" w:cs="宋体"/>
                <w:b/>
                <w:color w:val="000000"/>
                <w:sz w:val="20"/>
                <w:szCs w:val="20"/>
              </w:rPr>
              <w:t>课程预期</w:t>
            </w:r>
          </w:p>
          <w:p>
            <w:pPr>
              <w:snapToGrid w:val="0"/>
              <w:spacing w:line="288" w:lineRule="auto"/>
              <w:jc w:val="center"/>
              <w:rPr>
                <w:rFonts w:ascii="宋体" w:hAnsi="宋体" w:cs="宋体"/>
                <w:b/>
                <w:color w:val="000000"/>
                <w:sz w:val="20"/>
                <w:szCs w:val="20"/>
              </w:rPr>
            </w:pPr>
            <w:r>
              <w:rPr>
                <w:rFonts w:hint="eastAsia" w:ascii="宋体" w:hAnsi="宋体" w:cs="宋体"/>
                <w:b/>
                <w:color w:val="000000"/>
                <w:sz w:val="20"/>
                <w:szCs w:val="20"/>
              </w:rPr>
              <w:t>学习成果</w:t>
            </w:r>
          </w:p>
        </w:tc>
        <w:tc>
          <w:tcPr>
            <w:tcW w:w="3645" w:type="dxa"/>
            <w:shd w:val="clear" w:color="auto" w:fill="auto"/>
            <w:vAlign w:val="center"/>
          </w:tcPr>
          <w:p>
            <w:pPr>
              <w:snapToGrid w:val="0"/>
              <w:spacing w:line="288" w:lineRule="auto"/>
              <w:jc w:val="center"/>
              <w:rPr>
                <w:rFonts w:ascii="宋体" w:hAnsi="宋体" w:cs="宋体"/>
                <w:b/>
                <w:color w:val="000000"/>
                <w:sz w:val="20"/>
                <w:szCs w:val="20"/>
                <w:highlight w:val="yellow"/>
              </w:rPr>
            </w:pPr>
            <w:r>
              <w:rPr>
                <w:rFonts w:hint="eastAsia" w:ascii="宋体" w:hAnsi="宋体" w:cs="宋体"/>
                <w:b/>
                <w:color w:val="000000"/>
                <w:sz w:val="20"/>
                <w:szCs w:val="20"/>
              </w:rPr>
              <w:t>课程目标</w:t>
            </w:r>
          </w:p>
          <w:p>
            <w:pPr>
              <w:snapToGrid w:val="0"/>
              <w:spacing w:line="288" w:lineRule="auto"/>
              <w:jc w:val="center"/>
              <w:rPr>
                <w:rFonts w:ascii="宋体" w:hAnsi="宋体" w:cs="宋体"/>
                <w:b/>
                <w:color w:val="000000"/>
                <w:sz w:val="20"/>
                <w:szCs w:val="20"/>
              </w:rPr>
            </w:pPr>
            <w:r>
              <w:rPr>
                <w:rFonts w:hint="eastAsia" w:ascii="宋体" w:hAnsi="宋体" w:cs="宋体"/>
                <w:b/>
                <w:color w:val="000000"/>
                <w:sz w:val="20"/>
                <w:szCs w:val="20"/>
              </w:rPr>
              <w:t>（细化的预期学习成果）</w:t>
            </w:r>
          </w:p>
        </w:tc>
        <w:tc>
          <w:tcPr>
            <w:tcW w:w="1321" w:type="dxa"/>
            <w:shd w:val="clear" w:color="auto" w:fill="auto"/>
            <w:vAlign w:val="center"/>
          </w:tcPr>
          <w:p>
            <w:pPr>
              <w:snapToGrid w:val="0"/>
              <w:spacing w:line="288" w:lineRule="auto"/>
              <w:jc w:val="center"/>
              <w:rPr>
                <w:rFonts w:ascii="宋体" w:hAnsi="宋体" w:cs="宋体"/>
                <w:b/>
                <w:color w:val="000000"/>
                <w:sz w:val="20"/>
                <w:szCs w:val="20"/>
              </w:rPr>
            </w:pPr>
            <w:r>
              <w:rPr>
                <w:rFonts w:hint="eastAsia" w:ascii="宋体" w:hAnsi="宋体" w:cs="宋体"/>
                <w:b/>
                <w:color w:val="000000"/>
                <w:sz w:val="20"/>
                <w:szCs w:val="20"/>
              </w:rPr>
              <w:t>教与学方式</w:t>
            </w:r>
          </w:p>
        </w:tc>
        <w:tc>
          <w:tcPr>
            <w:tcW w:w="1250" w:type="dxa"/>
            <w:shd w:val="clear" w:color="auto" w:fill="auto"/>
            <w:vAlign w:val="center"/>
          </w:tcPr>
          <w:p>
            <w:pPr>
              <w:snapToGrid w:val="0"/>
              <w:spacing w:line="288" w:lineRule="auto"/>
              <w:jc w:val="center"/>
              <w:rPr>
                <w:rFonts w:ascii="宋体" w:hAnsi="宋体" w:cs="宋体"/>
                <w:b/>
                <w:color w:val="000000"/>
                <w:sz w:val="20"/>
                <w:szCs w:val="20"/>
              </w:rPr>
            </w:pPr>
            <w:r>
              <w:rPr>
                <w:rFonts w:hint="eastAsia" w:ascii="宋体" w:hAnsi="宋体" w:cs="宋体"/>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535" w:type="dxa"/>
            <w:vMerge w:val="restart"/>
            <w:shd w:val="clear" w:color="auto" w:fill="auto"/>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175" w:type="dxa"/>
            <w:vMerge w:val="restart"/>
            <w:shd w:val="clear" w:color="auto" w:fill="auto"/>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LO31</w:t>
            </w:r>
          </w:p>
        </w:tc>
        <w:tc>
          <w:tcPr>
            <w:tcW w:w="3645" w:type="dxa"/>
            <w:shd w:val="clear" w:color="auto" w:fill="auto"/>
          </w:tcPr>
          <w:p>
            <w:pPr>
              <w:snapToGrid w:val="0"/>
              <w:spacing w:line="288" w:lineRule="auto"/>
              <w:jc w:val="left"/>
              <w:rPr>
                <w:rFonts w:ascii="宋体" w:hAnsi="宋体" w:cs="宋体"/>
                <w:color w:val="000000"/>
                <w:kern w:val="0"/>
                <w:sz w:val="20"/>
                <w:szCs w:val="20"/>
              </w:rPr>
            </w:pPr>
            <w:r>
              <w:rPr>
                <w:rFonts w:hint="eastAsia" w:ascii="宋体" w:hAnsi="宋体" w:cs="宋体"/>
                <w:color w:val="000000"/>
                <w:kern w:val="0"/>
                <w:sz w:val="20"/>
                <w:szCs w:val="20"/>
              </w:rPr>
              <w:t>1.能正确陈述冷、热疗法的生理效应和继发效应、影响冷、热疗法效果的因素；</w:t>
            </w:r>
          </w:p>
          <w:p>
            <w:pPr>
              <w:snapToGrid w:val="0"/>
              <w:spacing w:line="288" w:lineRule="auto"/>
              <w:jc w:val="left"/>
              <w:rPr>
                <w:rFonts w:ascii="宋体" w:hAnsi="宋体" w:cs="宋体"/>
                <w:color w:val="000000"/>
                <w:kern w:val="0"/>
                <w:sz w:val="20"/>
                <w:szCs w:val="20"/>
              </w:rPr>
            </w:pPr>
            <w:r>
              <w:rPr>
                <w:rFonts w:hint="eastAsia" w:ascii="宋体" w:hAnsi="宋体" w:cs="宋体"/>
                <w:color w:val="000000"/>
                <w:kern w:val="0"/>
                <w:sz w:val="20"/>
                <w:szCs w:val="20"/>
              </w:rPr>
              <w:t>能正确描述并解释冷、热疗法、继发效应的概念；能正确理解冷疗法和热疗法的禁忌；能正确比较各种冷疗法和热疗法的目的和方法。</w:t>
            </w:r>
          </w:p>
        </w:tc>
        <w:tc>
          <w:tcPr>
            <w:tcW w:w="1321" w:type="dxa"/>
            <w:vMerge w:val="restart"/>
            <w:shd w:val="clear" w:color="auto" w:fill="auto"/>
            <w:vAlign w:val="center"/>
          </w:tcPr>
          <w:p>
            <w:pPr>
              <w:snapToGrid w:val="0"/>
              <w:spacing w:line="288" w:lineRule="auto"/>
              <w:jc w:val="center"/>
              <w:rPr>
                <w:rFonts w:ascii="宋体" w:hAnsi="宋体" w:cs="宋体"/>
                <w:color w:val="000000"/>
                <w:kern w:val="0"/>
                <w:sz w:val="20"/>
                <w:szCs w:val="20"/>
              </w:rPr>
            </w:pPr>
            <w:r>
              <w:rPr>
                <w:rFonts w:hint="eastAsia" w:ascii="宋体" w:hAnsi="宋体" w:cs="宋体"/>
                <w:color w:val="000000"/>
                <w:kern w:val="0"/>
                <w:sz w:val="20"/>
                <w:szCs w:val="20"/>
              </w:rPr>
              <w:t>理论讲授</w:t>
            </w:r>
          </w:p>
          <w:p>
            <w:pPr>
              <w:snapToGrid w:val="0"/>
              <w:spacing w:line="288" w:lineRule="auto"/>
              <w:jc w:val="center"/>
              <w:rPr>
                <w:rFonts w:ascii="宋体" w:hAnsi="宋体" w:cs="宋体"/>
                <w:color w:val="000000"/>
                <w:kern w:val="0"/>
                <w:sz w:val="20"/>
                <w:szCs w:val="20"/>
              </w:rPr>
            </w:pPr>
            <w:r>
              <w:rPr>
                <w:rFonts w:hint="eastAsia" w:ascii="宋体" w:hAnsi="宋体" w:cs="宋体"/>
                <w:color w:val="000000"/>
                <w:kern w:val="0"/>
                <w:sz w:val="20"/>
                <w:szCs w:val="20"/>
              </w:rPr>
              <w:t>案例讨论分析</w:t>
            </w:r>
          </w:p>
          <w:p>
            <w:pPr>
              <w:snapToGrid w:val="0"/>
              <w:spacing w:line="288" w:lineRule="auto"/>
              <w:jc w:val="center"/>
              <w:rPr>
                <w:rFonts w:ascii="宋体" w:hAnsi="宋体" w:cs="宋体"/>
                <w:color w:val="000000"/>
                <w:kern w:val="0"/>
                <w:sz w:val="20"/>
                <w:szCs w:val="20"/>
              </w:rPr>
            </w:pPr>
            <w:r>
              <w:rPr>
                <w:rFonts w:hint="eastAsia" w:ascii="宋体" w:hAnsi="宋体" w:cs="宋体"/>
                <w:color w:val="000000"/>
                <w:kern w:val="0"/>
                <w:sz w:val="20"/>
                <w:szCs w:val="20"/>
              </w:rPr>
              <w:t>自主学习</w:t>
            </w:r>
          </w:p>
        </w:tc>
        <w:tc>
          <w:tcPr>
            <w:tcW w:w="1250" w:type="dxa"/>
            <w:vMerge w:val="restart"/>
            <w:shd w:val="clear" w:color="auto" w:fill="auto"/>
            <w:vAlign w:val="center"/>
          </w:tcPr>
          <w:p>
            <w:pPr>
              <w:snapToGrid w:val="0"/>
              <w:spacing w:line="288" w:lineRule="auto"/>
              <w:jc w:val="center"/>
              <w:rPr>
                <w:rFonts w:ascii="宋体" w:hAnsi="宋体" w:cs="宋体"/>
                <w:color w:val="000000"/>
                <w:kern w:val="0"/>
                <w:sz w:val="20"/>
                <w:szCs w:val="20"/>
              </w:rPr>
            </w:pPr>
            <w:r>
              <w:rPr>
                <w:rFonts w:hint="eastAsia" w:ascii="宋体" w:hAnsi="宋体" w:cs="宋体"/>
                <w:color w:val="000000"/>
                <w:kern w:val="0"/>
                <w:sz w:val="20"/>
                <w:szCs w:val="20"/>
              </w:rPr>
              <w:t>理论考试</w:t>
            </w:r>
          </w:p>
          <w:p>
            <w:pPr>
              <w:snapToGrid w:val="0"/>
              <w:spacing w:line="288" w:lineRule="auto"/>
              <w:jc w:val="center"/>
              <w:rPr>
                <w:rFonts w:ascii="宋体" w:hAnsi="宋体" w:cs="宋体"/>
                <w:color w:val="000000"/>
                <w:kern w:val="0"/>
                <w:sz w:val="20"/>
                <w:szCs w:val="20"/>
              </w:rPr>
            </w:pPr>
            <w:r>
              <w:rPr>
                <w:rFonts w:hint="eastAsia" w:ascii="宋体" w:hAnsi="宋体" w:cs="宋体"/>
                <w:color w:val="000000"/>
                <w:kern w:val="0"/>
                <w:sz w:val="20"/>
                <w:szCs w:val="20"/>
              </w:rPr>
              <w:t>口头提问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535" w:type="dxa"/>
            <w:vMerge w:val="continue"/>
            <w:shd w:val="clear" w:color="auto" w:fill="auto"/>
            <w:vAlign w:val="center"/>
          </w:tcPr>
          <w:p>
            <w:pPr>
              <w:jc w:val="center"/>
              <w:rPr>
                <w:rFonts w:ascii="宋体" w:hAnsi="宋体" w:cs="宋体"/>
                <w:color w:val="000000"/>
                <w:kern w:val="0"/>
                <w:sz w:val="20"/>
                <w:szCs w:val="20"/>
              </w:rPr>
            </w:pPr>
          </w:p>
        </w:tc>
        <w:tc>
          <w:tcPr>
            <w:tcW w:w="1175" w:type="dxa"/>
            <w:vMerge w:val="continue"/>
            <w:shd w:val="clear" w:color="auto" w:fill="auto"/>
            <w:vAlign w:val="center"/>
          </w:tcPr>
          <w:p>
            <w:pPr>
              <w:jc w:val="center"/>
              <w:rPr>
                <w:rFonts w:ascii="宋体" w:hAnsi="宋体" w:cs="宋体"/>
                <w:color w:val="000000"/>
                <w:kern w:val="0"/>
                <w:sz w:val="20"/>
                <w:szCs w:val="20"/>
              </w:rPr>
            </w:pPr>
          </w:p>
        </w:tc>
        <w:tc>
          <w:tcPr>
            <w:tcW w:w="3645" w:type="dxa"/>
            <w:shd w:val="clear" w:color="auto" w:fill="auto"/>
          </w:tcPr>
          <w:p>
            <w:pPr>
              <w:snapToGrid w:val="0"/>
              <w:spacing w:line="288" w:lineRule="auto"/>
              <w:jc w:val="left"/>
              <w:rPr>
                <w:rFonts w:ascii="宋体" w:hAnsi="宋体" w:cs="宋体"/>
                <w:color w:val="000000"/>
                <w:kern w:val="0"/>
                <w:sz w:val="20"/>
                <w:szCs w:val="20"/>
              </w:rPr>
            </w:pPr>
            <w:r>
              <w:rPr>
                <w:rFonts w:hint="eastAsia" w:ascii="宋体" w:hAnsi="宋体" w:cs="宋体"/>
                <w:color w:val="000000"/>
                <w:kern w:val="0"/>
                <w:sz w:val="20"/>
                <w:szCs w:val="20"/>
              </w:rPr>
              <w:t>2.能正确列出六大营养素的种类；能正确说出医院饮食的类别及各类饮食的种类、原则与适用范围；能正确陈述鼻饲术的适应证、禁忌证及注意事项；能正确描述各种营养素的主要功能；能正确描述并解释营养素、治疗饮食、试验饮食、鼻饲法、要素饮食、胃肠外营养的概念；能正确说明饮食、营养与健康的关系；能正确理解要素饮食的并发症及注意事项；能正确说明胃肠外营养的并发症及注意事项。</w:t>
            </w:r>
          </w:p>
        </w:tc>
        <w:tc>
          <w:tcPr>
            <w:tcW w:w="1321" w:type="dxa"/>
            <w:vMerge w:val="continue"/>
            <w:shd w:val="clear" w:color="auto" w:fill="auto"/>
            <w:vAlign w:val="center"/>
          </w:tcPr>
          <w:p>
            <w:pPr>
              <w:snapToGrid w:val="0"/>
              <w:spacing w:line="288" w:lineRule="auto"/>
              <w:jc w:val="center"/>
              <w:rPr>
                <w:rFonts w:ascii="宋体" w:hAnsi="宋体" w:cs="宋体"/>
                <w:color w:val="000000"/>
                <w:kern w:val="0"/>
                <w:sz w:val="20"/>
                <w:szCs w:val="20"/>
              </w:rPr>
            </w:pPr>
          </w:p>
        </w:tc>
        <w:tc>
          <w:tcPr>
            <w:tcW w:w="1250" w:type="dxa"/>
            <w:vMerge w:val="continue"/>
            <w:shd w:val="clear" w:color="auto" w:fill="auto"/>
            <w:vAlign w:val="center"/>
          </w:tcPr>
          <w:p>
            <w:pPr>
              <w:snapToGrid w:val="0"/>
              <w:spacing w:line="288" w:lineRule="auto"/>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35" w:type="dxa"/>
            <w:vMerge w:val="continue"/>
            <w:shd w:val="clear" w:color="auto" w:fill="auto"/>
            <w:vAlign w:val="center"/>
          </w:tcPr>
          <w:p>
            <w:pPr>
              <w:jc w:val="center"/>
              <w:rPr>
                <w:rFonts w:ascii="宋体" w:hAnsi="宋体" w:cs="宋体"/>
                <w:color w:val="000000"/>
                <w:kern w:val="0"/>
                <w:sz w:val="20"/>
                <w:szCs w:val="20"/>
              </w:rPr>
            </w:pPr>
          </w:p>
        </w:tc>
        <w:tc>
          <w:tcPr>
            <w:tcW w:w="1175" w:type="dxa"/>
            <w:vMerge w:val="continue"/>
            <w:shd w:val="clear" w:color="auto" w:fill="auto"/>
            <w:vAlign w:val="center"/>
          </w:tcPr>
          <w:p>
            <w:pPr>
              <w:jc w:val="center"/>
              <w:rPr>
                <w:rFonts w:ascii="宋体" w:hAnsi="宋体" w:cs="宋体"/>
                <w:color w:val="000000"/>
                <w:kern w:val="0"/>
                <w:sz w:val="20"/>
                <w:szCs w:val="20"/>
              </w:rPr>
            </w:pPr>
          </w:p>
        </w:tc>
        <w:tc>
          <w:tcPr>
            <w:tcW w:w="3645" w:type="dxa"/>
            <w:shd w:val="clear" w:color="auto" w:fill="auto"/>
          </w:tcPr>
          <w:p>
            <w:pPr>
              <w:snapToGrid w:val="0"/>
              <w:spacing w:line="288" w:lineRule="auto"/>
              <w:jc w:val="left"/>
              <w:rPr>
                <w:rFonts w:ascii="宋体" w:hAnsi="宋体" w:cs="宋体"/>
                <w:color w:val="000000"/>
                <w:kern w:val="0"/>
                <w:sz w:val="20"/>
                <w:szCs w:val="20"/>
              </w:rPr>
            </w:pPr>
            <w:r>
              <w:rPr>
                <w:rFonts w:hint="eastAsia" w:ascii="宋体" w:hAnsi="宋体" w:cs="宋体"/>
                <w:color w:val="000000"/>
                <w:kern w:val="0"/>
                <w:sz w:val="20"/>
                <w:szCs w:val="20"/>
              </w:rPr>
              <w:t>3.能描述与排便、排尿有关的解剖和生理；能陈述尿液、粪便观察的主要内容；能描述并解释多尿、少尿、无尿、膀胱刺激征、尿潴留、尿失禁、导尿术、便秘、腹泻、排便失禁、灌肠法及肛管排气的概念；能说明影响排便、排尿的因素；能解释导致排尿、排便异常的原因；能理解留置导尿术病人的护理要点。</w:t>
            </w:r>
          </w:p>
        </w:tc>
        <w:tc>
          <w:tcPr>
            <w:tcW w:w="1321" w:type="dxa"/>
            <w:vMerge w:val="continue"/>
            <w:shd w:val="clear" w:color="auto" w:fill="auto"/>
            <w:vAlign w:val="center"/>
          </w:tcPr>
          <w:p>
            <w:pPr>
              <w:snapToGrid w:val="0"/>
              <w:spacing w:line="288" w:lineRule="auto"/>
              <w:jc w:val="center"/>
              <w:rPr>
                <w:rFonts w:ascii="宋体" w:hAnsi="宋体" w:cs="宋体"/>
                <w:color w:val="000000"/>
                <w:kern w:val="0"/>
                <w:sz w:val="20"/>
                <w:szCs w:val="20"/>
              </w:rPr>
            </w:pPr>
          </w:p>
        </w:tc>
        <w:tc>
          <w:tcPr>
            <w:tcW w:w="1250" w:type="dxa"/>
            <w:vMerge w:val="continue"/>
            <w:shd w:val="clear" w:color="auto" w:fill="auto"/>
            <w:vAlign w:val="center"/>
          </w:tcPr>
          <w:p>
            <w:pPr>
              <w:snapToGrid w:val="0"/>
              <w:spacing w:line="288" w:lineRule="auto"/>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535" w:type="dxa"/>
            <w:vMerge w:val="continue"/>
            <w:shd w:val="clear" w:color="auto" w:fill="auto"/>
            <w:vAlign w:val="center"/>
          </w:tcPr>
          <w:p>
            <w:pPr>
              <w:jc w:val="center"/>
              <w:rPr>
                <w:rFonts w:ascii="宋体" w:hAnsi="宋体" w:cs="宋体"/>
                <w:color w:val="000000"/>
                <w:kern w:val="0"/>
                <w:sz w:val="20"/>
                <w:szCs w:val="20"/>
              </w:rPr>
            </w:pPr>
          </w:p>
        </w:tc>
        <w:tc>
          <w:tcPr>
            <w:tcW w:w="1175" w:type="dxa"/>
            <w:vMerge w:val="continue"/>
            <w:shd w:val="clear" w:color="auto" w:fill="auto"/>
            <w:vAlign w:val="center"/>
          </w:tcPr>
          <w:p>
            <w:pPr>
              <w:jc w:val="center"/>
              <w:rPr>
                <w:rFonts w:ascii="宋体" w:hAnsi="宋体" w:cs="宋体"/>
                <w:color w:val="000000"/>
                <w:kern w:val="0"/>
                <w:sz w:val="20"/>
                <w:szCs w:val="20"/>
              </w:rPr>
            </w:pPr>
          </w:p>
        </w:tc>
        <w:tc>
          <w:tcPr>
            <w:tcW w:w="3645" w:type="dxa"/>
            <w:shd w:val="clear" w:color="auto" w:fill="auto"/>
          </w:tcPr>
          <w:p>
            <w:pPr>
              <w:snapToGrid w:val="0"/>
              <w:spacing w:line="288" w:lineRule="auto"/>
              <w:jc w:val="left"/>
              <w:rPr>
                <w:rFonts w:ascii="宋体" w:hAnsi="宋体" w:cs="宋体"/>
                <w:color w:val="000000"/>
                <w:kern w:val="0"/>
                <w:sz w:val="20"/>
                <w:szCs w:val="20"/>
              </w:rPr>
            </w:pPr>
            <w:r>
              <w:rPr>
                <w:rFonts w:hint="eastAsia" w:ascii="宋体" w:hAnsi="宋体" w:cs="宋体"/>
                <w:color w:val="000000"/>
                <w:kern w:val="0"/>
                <w:sz w:val="20"/>
                <w:szCs w:val="20"/>
              </w:rPr>
              <w:t>4.能正确写出常用药物的种类和常用给药医嘱的外文缩写词；能正确说出给药途径和给药原则；能正确阐述注射原则；能正确描述各种注射方法的目的、常用部位及注意事项；能正确说出常用过敏试验液的配制浓度、注入剂量和试验结果判断；能正确说出青霉素过敏反应的原因和预防措施；能正确陈述破伤风抗毒素脱敏注射的原理和方法；能正确描述并解释口服给药法、注射法、皮内注射法、皮下注射法、肌内注射法、静脉注射、雾化吸入法、超声雾化吸入法、氧气雾化吸入法、过敏反应及破伤风抗毒素脱敏注射法的概念；能举例说明药物保管的要求、影响药物作用的因素、不同性能药物口服时的注意事项、静脉注射失败的原因；能正确识别青霉素过敏性休克的临床表现。</w:t>
            </w:r>
          </w:p>
        </w:tc>
        <w:tc>
          <w:tcPr>
            <w:tcW w:w="1321" w:type="dxa"/>
            <w:vMerge w:val="continue"/>
            <w:shd w:val="clear" w:color="auto" w:fill="auto"/>
            <w:vAlign w:val="center"/>
          </w:tcPr>
          <w:p>
            <w:pPr>
              <w:snapToGrid w:val="0"/>
              <w:spacing w:line="288" w:lineRule="auto"/>
              <w:jc w:val="center"/>
              <w:rPr>
                <w:rFonts w:ascii="宋体" w:hAnsi="宋体" w:cs="宋体"/>
                <w:color w:val="000000"/>
                <w:kern w:val="0"/>
                <w:sz w:val="20"/>
                <w:szCs w:val="20"/>
              </w:rPr>
            </w:pPr>
          </w:p>
        </w:tc>
        <w:tc>
          <w:tcPr>
            <w:tcW w:w="1250" w:type="dxa"/>
            <w:vMerge w:val="continue"/>
            <w:shd w:val="clear" w:color="auto" w:fill="auto"/>
            <w:vAlign w:val="center"/>
          </w:tcPr>
          <w:p>
            <w:pPr>
              <w:snapToGrid w:val="0"/>
              <w:spacing w:line="288" w:lineRule="auto"/>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535" w:type="dxa"/>
            <w:vMerge w:val="continue"/>
            <w:shd w:val="clear" w:color="auto" w:fill="auto"/>
            <w:vAlign w:val="center"/>
          </w:tcPr>
          <w:p>
            <w:pPr>
              <w:jc w:val="center"/>
              <w:rPr>
                <w:rFonts w:ascii="宋体" w:hAnsi="宋体" w:cs="宋体"/>
                <w:color w:val="000000"/>
                <w:kern w:val="0"/>
                <w:sz w:val="20"/>
                <w:szCs w:val="20"/>
              </w:rPr>
            </w:pPr>
          </w:p>
        </w:tc>
        <w:tc>
          <w:tcPr>
            <w:tcW w:w="1175" w:type="dxa"/>
            <w:vMerge w:val="continue"/>
            <w:shd w:val="clear" w:color="auto" w:fill="auto"/>
            <w:vAlign w:val="center"/>
          </w:tcPr>
          <w:p>
            <w:pPr>
              <w:jc w:val="center"/>
              <w:rPr>
                <w:rFonts w:ascii="宋体" w:hAnsi="宋体" w:cs="宋体"/>
                <w:color w:val="000000"/>
                <w:kern w:val="0"/>
                <w:sz w:val="20"/>
                <w:szCs w:val="20"/>
              </w:rPr>
            </w:pPr>
          </w:p>
        </w:tc>
        <w:tc>
          <w:tcPr>
            <w:tcW w:w="3645" w:type="dxa"/>
            <w:shd w:val="clear" w:color="auto" w:fill="auto"/>
          </w:tcPr>
          <w:p>
            <w:pPr>
              <w:snapToGrid w:val="0"/>
              <w:spacing w:line="288" w:lineRule="auto"/>
              <w:jc w:val="left"/>
              <w:rPr>
                <w:rFonts w:ascii="宋体" w:hAnsi="宋体" w:cs="宋体"/>
                <w:color w:val="000000"/>
                <w:kern w:val="0"/>
                <w:sz w:val="20"/>
                <w:szCs w:val="20"/>
              </w:rPr>
            </w:pPr>
            <w:r>
              <w:rPr>
                <w:rFonts w:hint="eastAsia" w:ascii="宋体" w:hAnsi="宋体" w:cs="宋体"/>
                <w:color w:val="000000"/>
                <w:kern w:val="0"/>
                <w:sz w:val="20"/>
                <w:szCs w:val="20"/>
              </w:rPr>
              <w:t>5.能正确陈述静脉输液的目的；能正确说出静脉补液应遵循的原则及补钾的</w:t>
            </w:r>
          </w:p>
          <w:p>
            <w:pPr>
              <w:snapToGrid w:val="0"/>
              <w:spacing w:line="288" w:lineRule="auto"/>
              <w:jc w:val="left"/>
              <w:rPr>
                <w:rFonts w:ascii="宋体" w:hAnsi="宋体" w:cs="宋体"/>
                <w:color w:val="000000"/>
                <w:kern w:val="0"/>
                <w:sz w:val="20"/>
                <w:szCs w:val="20"/>
              </w:rPr>
            </w:pPr>
            <w:r>
              <w:rPr>
                <w:rFonts w:hint="eastAsia" w:ascii="宋体" w:hAnsi="宋体" w:cs="宋体"/>
                <w:color w:val="000000"/>
                <w:kern w:val="0"/>
                <w:sz w:val="20"/>
                <w:szCs w:val="20"/>
              </w:rPr>
              <w:t>“四不宜”原则；能正确列出常见输液障碍的种类；能正确描述静脉输血的目的和原则；能正确陈述自体输血的优点；能正确描述成分输血的特点；能正确描述并解释静脉输液、输液微粒、输液微粒污染、密闭式输液法、开放式输液法、静脉输血、间接输血法、直接输血法、</w:t>
            </w:r>
          </w:p>
          <w:p>
            <w:pPr>
              <w:snapToGrid w:val="0"/>
              <w:spacing w:line="288" w:lineRule="auto"/>
              <w:jc w:val="left"/>
              <w:rPr>
                <w:rFonts w:ascii="宋体" w:hAnsi="宋体" w:cs="宋体"/>
                <w:color w:val="000000"/>
                <w:kern w:val="0"/>
                <w:sz w:val="20"/>
                <w:szCs w:val="20"/>
              </w:rPr>
            </w:pPr>
            <w:r>
              <w:rPr>
                <w:rFonts w:hint="eastAsia" w:ascii="宋体" w:hAnsi="宋体" w:cs="宋体"/>
                <w:color w:val="000000"/>
                <w:kern w:val="0"/>
                <w:sz w:val="20"/>
                <w:szCs w:val="20"/>
              </w:rPr>
              <w:t>血型、ABO血型鉴定、直接交叉配血试验及间接交叉配血试验的概念；能正确解释静脉输液的原理；能正确识别静脉输液常用溶液的种类及作用；能正确说明周围静脉输液法、静脉输血法及成</w:t>
            </w:r>
          </w:p>
          <w:p>
            <w:pPr>
              <w:snapToGrid w:val="0"/>
              <w:spacing w:line="288" w:lineRule="auto"/>
              <w:jc w:val="left"/>
              <w:rPr>
                <w:rFonts w:ascii="宋体" w:hAnsi="宋体" w:cs="宋体"/>
                <w:color w:val="000000"/>
                <w:kern w:val="0"/>
                <w:sz w:val="20"/>
                <w:szCs w:val="20"/>
              </w:rPr>
            </w:pPr>
            <w:r>
              <w:rPr>
                <w:rFonts w:hint="eastAsia" w:ascii="宋体" w:hAnsi="宋体" w:cs="宋体"/>
                <w:color w:val="000000"/>
                <w:kern w:val="0"/>
                <w:sz w:val="20"/>
                <w:szCs w:val="20"/>
              </w:rPr>
              <w:t>分输血的注意事项；能正确解释输液过程中溶液不滴的原因；能正确解释常见输液反应及常见输血反应的原因；能正确区分各种血液制品的种类及作用；能正确理解ABO血型系统和Rh血型系统；能正确解释血型鉴定及交叉配血试验的意义。</w:t>
            </w:r>
          </w:p>
        </w:tc>
        <w:tc>
          <w:tcPr>
            <w:tcW w:w="1321" w:type="dxa"/>
            <w:vMerge w:val="continue"/>
            <w:shd w:val="clear" w:color="auto" w:fill="auto"/>
            <w:vAlign w:val="center"/>
          </w:tcPr>
          <w:p>
            <w:pPr>
              <w:snapToGrid w:val="0"/>
              <w:spacing w:line="288" w:lineRule="auto"/>
              <w:jc w:val="center"/>
              <w:rPr>
                <w:rFonts w:ascii="宋体" w:hAnsi="宋体" w:cs="宋体"/>
                <w:color w:val="000000"/>
                <w:kern w:val="0"/>
                <w:sz w:val="20"/>
                <w:szCs w:val="20"/>
              </w:rPr>
            </w:pPr>
          </w:p>
        </w:tc>
        <w:tc>
          <w:tcPr>
            <w:tcW w:w="1250" w:type="dxa"/>
            <w:vMerge w:val="continue"/>
            <w:shd w:val="clear" w:color="auto" w:fill="auto"/>
            <w:vAlign w:val="center"/>
          </w:tcPr>
          <w:p>
            <w:pPr>
              <w:snapToGrid w:val="0"/>
              <w:spacing w:line="288" w:lineRule="auto"/>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35" w:type="dxa"/>
            <w:vMerge w:val="continue"/>
            <w:shd w:val="clear" w:color="auto" w:fill="auto"/>
            <w:vAlign w:val="center"/>
          </w:tcPr>
          <w:p>
            <w:pPr>
              <w:jc w:val="center"/>
              <w:rPr>
                <w:rFonts w:ascii="宋体" w:hAnsi="宋体" w:cs="宋体"/>
                <w:color w:val="000000"/>
                <w:kern w:val="0"/>
                <w:sz w:val="20"/>
                <w:szCs w:val="20"/>
              </w:rPr>
            </w:pPr>
          </w:p>
        </w:tc>
        <w:tc>
          <w:tcPr>
            <w:tcW w:w="1175" w:type="dxa"/>
            <w:vMerge w:val="continue"/>
            <w:shd w:val="clear" w:color="auto" w:fill="auto"/>
            <w:vAlign w:val="center"/>
          </w:tcPr>
          <w:p>
            <w:pPr>
              <w:jc w:val="center"/>
              <w:rPr>
                <w:rFonts w:ascii="宋体" w:hAnsi="宋体" w:cs="宋体"/>
                <w:color w:val="000000"/>
                <w:kern w:val="0"/>
                <w:sz w:val="20"/>
                <w:szCs w:val="20"/>
              </w:rPr>
            </w:pPr>
          </w:p>
        </w:tc>
        <w:tc>
          <w:tcPr>
            <w:tcW w:w="3645" w:type="dxa"/>
            <w:shd w:val="clear" w:color="auto" w:fill="auto"/>
          </w:tcPr>
          <w:p>
            <w:pPr>
              <w:snapToGrid w:val="0"/>
              <w:spacing w:line="288" w:lineRule="auto"/>
              <w:jc w:val="left"/>
              <w:rPr>
                <w:rFonts w:ascii="宋体" w:hAnsi="宋体" w:cs="宋体"/>
                <w:color w:val="000000"/>
                <w:kern w:val="0"/>
                <w:sz w:val="20"/>
                <w:szCs w:val="20"/>
              </w:rPr>
            </w:pPr>
            <w:r>
              <w:rPr>
                <w:rFonts w:hint="eastAsia" w:ascii="宋体" w:hAnsi="宋体" w:cs="宋体"/>
                <w:color w:val="000000"/>
                <w:kern w:val="0"/>
                <w:sz w:val="20"/>
                <w:szCs w:val="20"/>
              </w:rPr>
              <w:t>6.能正确陈述标本采集的基本原则；能正确描述血液标本、尿液标本、粪便标本、痰液标本及咽拭子标本采集的目的及注意事项；能正确说出留取12小时或24小时尿标本常用防腐剂的种类、作用与用法；能正确理解标本采集的意义；能比较不同类型的静脉血标本采集的目的、采血量、方法及标本容器选择的不同点。</w:t>
            </w:r>
          </w:p>
        </w:tc>
        <w:tc>
          <w:tcPr>
            <w:tcW w:w="1321" w:type="dxa"/>
            <w:vMerge w:val="continue"/>
            <w:shd w:val="clear" w:color="auto" w:fill="auto"/>
            <w:vAlign w:val="center"/>
          </w:tcPr>
          <w:p>
            <w:pPr>
              <w:snapToGrid w:val="0"/>
              <w:spacing w:line="288" w:lineRule="auto"/>
              <w:jc w:val="center"/>
              <w:rPr>
                <w:rFonts w:ascii="宋体" w:hAnsi="宋体" w:cs="宋体"/>
                <w:color w:val="000000"/>
                <w:kern w:val="0"/>
                <w:sz w:val="20"/>
                <w:szCs w:val="20"/>
              </w:rPr>
            </w:pPr>
          </w:p>
        </w:tc>
        <w:tc>
          <w:tcPr>
            <w:tcW w:w="1250" w:type="dxa"/>
            <w:vMerge w:val="continue"/>
            <w:shd w:val="clear" w:color="auto" w:fill="auto"/>
            <w:vAlign w:val="center"/>
          </w:tcPr>
          <w:p>
            <w:pPr>
              <w:snapToGrid w:val="0"/>
              <w:spacing w:line="288" w:lineRule="auto"/>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535" w:type="dxa"/>
            <w:vMerge w:val="continue"/>
            <w:shd w:val="clear" w:color="auto" w:fill="auto"/>
            <w:vAlign w:val="center"/>
          </w:tcPr>
          <w:p>
            <w:pPr>
              <w:jc w:val="center"/>
              <w:rPr>
                <w:rFonts w:ascii="宋体" w:hAnsi="宋体" w:cs="宋体"/>
                <w:color w:val="000000"/>
                <w:kern w:val="0"/>
                <w:sz w:val="20"/>
                <w:szCs w:val="20"/>
              </w:rPr>
            </w:pPr>
          </w:p>
        </w:tc>
        <w:tc>
          <w:tcPr>
            <w:tcW w:w="1175" w:type="dxa"/>
            <w:vMerge w:val="continue"/>
            <w:shd w:val="clear" w:color="auto" w:fill="auto"/>
            <w:vAlign w:val="center"/>
          </w:tcPr>
          <w:p>
            <w:pPr>
              <w:jc w:val="center"/>
              <w:rPr>
                <w:rFonts w:ascii="宋体" w:hAnsi="宋体" w:cs="宋体"/>
                <w:color w:val="000000"/>
                <w:kern w:val="0"/>
                <w:sz w:val="20"/>
                <w:szCs w:val="20"/>
              </w:rPr>
            </w:pPr>
          </w:p>
        </w:tc>
        <w:tc>
          <w:tcPr>
            <w:tcW w:w="3645" w:type="dxa"/>
            <w:shd w:val="clear" w:color="auto" w:fill="auto"/>
          </w:tcPr>
          <w:p>
            <w:pPr>
              <w:snapToGrid w:val="0"/>
              <w:spacing w:line="288" w:lineRule="auto"/>
              <w:jc w:val="left"/>
              <w:rPr>
                <w:rFonts w:ascii="宋体" w:hAnsi="宋体" w:cs="宋体"/>
                <w:color w:val="000000"/>
                <w:kern w:val="0"/>
                <w:sz w:val="20"/>
                <w:szCs w:val="20"/>
              </w:rPr>
            </w:pPr>
            <w:r>
              <w:rPr>
                <w:rFonts w:hint="eastAsia" w:ascii="宋体" w:hAnsi="宋体" w:cs="宋体"/>
                <w:color w:val="000000"/>
                <w:kern w:val="0"/>
                <w:sz w:val="20"/>
                <w:szCs w:val="20"/>
              </w:rPr>
              <w:t>7.能正确列出影响疼痛的因素；能正确描述WHO的疼痛分级内容；能正确说出疼痛控制标准；能正确说出常用镇痛药物和常见的给药途径及其不良反应；能正确描述并解释疼痛、痛觉、痛反应、疼痛阈及疼痛耐受力的概念；能正确解释疼痛的发生机制并举例说明疼痛的原因；能正确说明疼痛对个体的影响；能正确解释疼痛的护理流程；能正确说明疼痛的评估内容和方法；能正确说明WHO推荐的三阶梯镇痛疗法的基本原则和内容。</w:t>
            </w:r>
          </w:p>
        </w:tc>
        <w:tc>
          <w:tcPr>
            <w:tcW w:w="1321" w:type="dxa"/>
            <w:vMerge w:val="continue"/>
            <w:shd w:val="clear" w:color="auto" w:fill="auto"/>
            <w:vAlign w:val="center"/>
          </w:tcPr>
          <w:p>
            <w:pPr>
              <w:snapToGrid w:val="0"/>
              <w:spacing w:line="288" w:lineRule="auto"/>
              <w:jc w:val="center"/>
              <w:rPr>
                <w:rFonts w:ascii="宋体" w:hAnsi="宋体" w:cs="宋体"/>
                <w:color w:val="000000"/>
                <w:kern w:val="0"/>
                <w:sz w:val="20"/>
                <w:szCs w:val="20"/>
              </w:rPr>
            </w:pPr>
          </w:p>
        </w:tc>
        <w:tc>
          <w:tcPr>
            <w:tcW w:w="1250" w:type="dxa"/>
            <w:vMerge w:val="continue"/>
            <w:shd w:val="clear" w:color="auto" w:fill="auto"/>
            <w:vAlign w:val="center"/>
          </w:tcPr>
          <w:p>
            <w:pPr>
              <w:snapToGrid w:val="0"/>
              <w:spacing w:line="288" w:lineRule="auto"/>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trPr>
        <w:tc>
          <w:tcPr>
            <w:tcW w:w="535" w:type="dxa"/>
            <w:vMerge w:val="continue"/>
            <w:shd w:val="clear" w:color="auto" w:fill="auto"/>
            <w:vAlign w:val="center"/>
          </w:tcPr>
          <w:p>
            <w:pPr>
              <w:jc w:val="center"/>
              <w:rPr>
                <w:rFonts w:ascii="宋体" w:hAnsi="宋体" w:cs="宋体"/>
                <w:color w:val="000000"/>
                <w:kern w:val="0"/>
                <w:sz w:val="20"/>
                <w:szCs w:val="20"/>
              </w:rPr>
            </w:pPr>
          </w:p>
        </w:tc>
        <w:tc>
          <w:tcPr>
            <w:tcW w:w="1175" w:type="dxa"/>
            <w:vMerge w:val="continue"/>
            <w:shd w:val="clear" w:color="auto" w:fill="auto"/>
            <w:vAlign w:val="center"/>
          </w:tcPr>
          <w:p>
            <w:pPr>
              <w:jc w:val="center"/>
              <w:rPr>
                <w:rFonts w:ascii="宋体" w:hAnsi="宋体" w:cs="宋体"/>
                <w:color w:val="000000"/>
                <w:kern w:val="0"/>
                <w:sz w:val="20"/>
                <w:szCs w:val="20"/>
              </w:rPr>
            </w:pPr>
          </w:p>
        </w:tc>
        <w:tc>
          <w:tcPr>
            <w:tcW w:w="3645" w:type="dxa"/>
            <w:shd w:val="clear" w:color="auto" w:fill="auto"/>
          </w:tcPr>
          <w:p>
            <w:pPr>
              <w:snapToGrid w:val="0"/>
              <w:spacing w:line="288" w:lineRule="auto"/>
              <w:jc w:val="left"/>
              <w:rPr>
                <w:rFonts w:ascii="宋体" w:hAnsi="宋体" w:cs="宋体"/>
                <w:color w:val="000000"/>
                <w:kern w:val="0"/>
                <w:sz w:val="20"/>
                <w:szCs w:val="20"/>
              </w:rPr>
            </w:pPr>
            <w:r>
              <w:rPr>
                <w:rFonts w:hint="eastAsia" w:ascii="宋体" w:hAnsi="宋体" w:cs="宋体"/>
                <w:color w:val="000000"/>
                <w:kern w:val="0"/>
                <w:sz w:val="20"/>
                <w:szCs w:val="20"/>
              </w:rPr>
              <w:t>8.能描述病情观察的内容及方法；能陈述呼吸心脏骤停的原因及临床表现；能描述洗胃的目的、常用洗胃溶液；能列出简易呼吸器的操作要点；能描述并解释意识状态、意识障碍、轻度昏迷、深度昏迷、洗胃、心肺复苏（CPR）的概念；能说明意识障碍的种类；能进行格拉斯哥昏迷评分分级；能分析和说明CPR的注意事项；能理解洗胃的注意事项。</w:t>
            </w:r>
          </w:p>
        </w:tc>
        <w:tc>
          <w:tcPr>
            <w:tcW w:w="1321" w:type="dxa"/>
            <w:vMerge w:val="continue"/>
            <w:shd w:val="clear" w:color="auto" w:fill="auto"/>
            <w:vAlign w:val="center"/>
          </w:tcPr>
          <w:p>
            <w:pPr>
              <w:snapToGrid w:val="0"/>
              <w:spacing w:line="288" w:lineRule="auto"/>
              <w:jc w:val="center"/>
              <w:rPr>
                <w:rFonts w:ascii="宋体" w:hAnsi="宋体" w:cs="宋体"/>
                <w:color w:val="000000"/>
                <w:kern w:val="0"/>
                <w:sz w:val="20"/>
                <w:szCs w:val="20"/>
              </w:rPr>
            </w:pPr>
          </w:p>
        </w:tc>
        <w:tc>
          <w:tcPr>
            <w:tcW w:w="1250" w:type="dxa"/>
            <w:vMerge w:val="continue"/>
            <w:shd w:val="clear" w:color="auto" w:fill="auto"/>
            <w:vAlign w:val="center"/>
          </w:tcPr>
          <w:p>
            <w:pPr>
              <w:snapToGrid w:val="0"/>
              <w:spacing w:line="288" w:lineRule="auto"/>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535" w:type="dxa"/>
            <w:vMerge w:val="continue"/>
            <w:shd w:val="clear" w:color="auto" w:fill="auto"/>
            <w:vAlign w:val="center"/>
          </w:tcPr>
          <w:p>
            <w:pPr>
              <w:jc w:val="center"/>
              <w:rPr>
                <w:rFonts w:ascii="宋体" w:hAnsi="宋体" w:cs="宋体"/>
                <w:color w:val="000000"/>
                <w:kern w:val="0"/>
                <w:sz w:val="20"/>
                <w:szCs w:val="20"/>
              </w:rPr>
            </w:pPr>
          </w:p>
        </w:tc>
        <w:tc>
          <w:tcPr>
            <w:tcW w:w="1175" w:type="dxa"/>
            <w:vMerge w:val="continue"/>
            <w:shd w:val="clear" w:color="auto" w:fill="auto"/>
            <w:vAlign w:val="center"/>
          </w:tcPr>
          <w:p>
            <w:pPr>
              <w:jc w:val="center"/>
              <w:rPr>
                <w:rFonts w:ascii="宋体" w:hAnsi="宋体" w:cs="宋体"/>
                <w:color w:val="000000"/>
                <w:kern w:val="0"/>
                <w:sz w:val="20"/>
                <w:szCs w:val="20"/>
              </w:rPr>
            </w:pPr>
          </w:p>
        </w:tc>
        <w:tc>
          <w:tcPr>
            <w:tcW w:w="3645" w:type="dxa"/>
            <w:shd w:val="clear" w:color="auto" w:fill="auto"/>
          </w:tcPr>
          <w:p>
            <w:pPr>
              <w:snapToGrid w:val="0"/>
              <w:spacing w:line="288" w:lineRule="auto"/>
              <w:jc w:val="left"/>
              <w:rPr>
                <w:rFonts w:ascii="宋体" w:hAnsi="宋体" w:cs="宋体"/>
                <w:color w:val="000000"/>
                <w:kern w:val="0"/>
                <w:sz w:val="20"/>
                <w:szCs w:val="20"/>
              </w:rPr>
            </w:pPr>
            <w:r>
              <w:rPr>
                <w:rFonts w:hint="eastAsia" w:ascii="宋体" w:hAnsi="宋体" w:cs="宋体"/>
                <w:color w:val="000000"/>
                <w:kern w:val="0"/>
                <w:sz w:val="20"/>
                <w:szCs w:val="20"/>
              </w:rPr>
              <w:t>9.能正确陈述脑死亡的诊断标准；能正确描述死亡教育的目的和内容；能正确描述临终病人各阶段的生理评估內容；能正确叙述濒死病人的临床表现及死亡诊断依据；能正确描述临终关怀的组织机构的类别及基本服务项目；能正确描述和解释临终关怀、死亡教育、濒死、脑死亡的概念；能正确解释临终关怀的理念；能正确比较死亡过程各期的表现和特点；能正确说明临终病人的护理原则；能正确识别临终病人的各个心理反应期。</w:t>
            </w:r>
          </w:p>
        </w:tc>
        <w:tc>
          <w:tcPr>
            <w:tcW w:w="1321" w:type="dxa"/>
            <w:vMerge w:val="continue"/>
            <w:shd w:val="clear" w:color="auto" w:fill="auto"/>
            <w:vAlign w:val="center"/>
          </w:tcPr>
          <w:p>
            <w:pPr>
              <w:snapToGrid w:val="0"/>
              <w:spacing w:line="288" w:lineRule="auto"/>
              <w:jc w:val="center"/>
              <w:rPr>
                <w:rFonts w:ascii="宋体" w:hAnsi="宋体" w:cs="宋体"/>
                <w:color w:val="000000"/>
                <w:kern w:val="0"/>
                <w:sz w:val="20"/>
                <w:szCs w:val="20"/>
              </w:rPr>
            </w:pPr>
          </w:p>
        </w:tc>
        <w:tc>
          <w:tcPr>
            <w:tcW w:w="1250" w:type="dxa"/>
            <w:vMerge w:val="continue"/>
            <w:shd w:val="clear" w:color="auto" w:fill="auto"/>
            <w:vAlign w:val="center"/>
          </w:tcPr>
          <w:p>
            <w:pPr>
              <w:snapToGrid w:val="0"/>
              <w:spacing w:line="288" w:lineRule="auto"/>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35" w:type="dxa"/>
            <w:vMerge w:val="restart"/>
            <w:shd w:val="clear" w:color="auto" w:fill="auto"/>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175" w:type="dxa"/>
            <w:vMerge w:val="restart"/>
            <w:shd w:val="clear" w:color="auto" w:fill="auto"/>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LO32</w:t>
            </w:r>
          </w:p>
        </w:tc>
        <w:tc>
          <w:tcPr>
            <w:tcW w:w="3645" w:type="dxa"/>
            <w:shd w:val="clear" w:color="auto" w:fill="auto"/>
          </w:tcPr>
          <w:p>
            <w:pPr>
              <w:snapToGrid w:val="0"/>
              <w:spacing w:line="288" w:lineRule="auto"/>
              <w:jc w:val="left"/>
              <w:rPr>
                <w:rFonts w:ascii="宋体" w:hAnsi="宋体" w:cs="宋体"/>
                <w:color w:val="000000"/>
                <w:kern w:val="0"/>
                <w:sz w:val="20"/>
                <w:szCs w:val="20"/>
              </w:rPr>
            </w:pPr>
            <w:r>
              <w:rPr>
                <w:rFonts w:hint="eastAsia" w:ascii="宋体" w:hAnsi="宋体" w:cs="宋体"/>
                <w:color w:val="000000"/>
                <w:kern w:val="0"/>
                <w:sz w:val="20"/>
                <w:szCs w:val="20"/>
              </w:rPr>
              <w:t>1.能运用所学知识，正确选择并实施冷、热疗法。</w:t>
            </w:r>
          </w:p>
        </w:tc>
        <w:tc>
          <w:tcPr>
            <w:tcW w:w="1321" w:type="dxa"/>
            <w:vMerge w:val="restart"/>
            <w:shd w:val="clear" w:color="auto" w:fill="auto"/>
            <w:vAlign w:val="center"/>
          </w:tcPr>
          <w:p>
            <w:pPr>
              <w:snapToGrid w:val="0"/>
              <w:spacing w:line="288" w:lineRule="auto"/>
              <w:jc w:val="center"/>
              <w:rPr>
                <w:rFonts w:ascii="宋体" w:hAnsi="宋体" w:cs="宋体"/>
                <w:color w:val="000000"/>
                <w:kern w:val="0"/>
                <w:sz w:val="20"/>
                <w:szCs w:val="20"/>
              </w:rPr>
            </w:pPr>
            <w:r>
              <w:rPr>
                <w:rFonts w:hint="eastAsia" w:ascii="宋体" w:hAnsi="宋体" w:cs="宋体"/>
                <w:color w:val="000000"/>
                <w:kern w:val="0"/>
                <w:sz w:val="20"/>
                <w:szCs w:val="20"/>
              </w:rPr>
              <w:t>实践学习</w:t>
            </w:r>
          </w:p>
          <w:p>
            <w:pPr>
              <w:snapToGrid w:val="0"/>
              <w:spacing w:line="288" w:lineRule="auto"/>
              <w:jc w:val="center"/>
              <w:rPr>
                <w:rFonts w:ascii="宋体" w:hAnsi="宋体" w:cs="宋体"/>
                <w:color w:val="000000"/>
                <w:kern w:val="0"/>
                <w:sz w:val="20"/>
                <w:szCs w:val="20"/>
              </w:rPr>
            </w:pPr>
            <w:r>
              <w:rPr>
                <w:rFonts w:hint="eastAsia" w:ascii="宋体" w:hAnsi="宋体" w:cs="宋体"/>
                <w:color w:val="000000"/>
                <w:kern w:val="0"/>
                <w:sz w:val="20"/>
                <w:szCs w:val="20"/>
              </w:rPr>
              <w:t>视频学习</w:t>
            </w:r>
          </w:p>
          <w:p>
            <w:pPr>
              <w:snapToGrid w:val="0"/>
              <w:spacing w:line="288" w:lineRule="auto"/>
              <w:jc w:val="center"/>
              <w:rPr>
                <w:rFonts w:ascii="宋体" w:hAnsi="宋体" w:cs="宋体"/>
                <w:color w:val="000000"/>
                <w:kern w:val="0"/>
                <w:sz w:val="20"/>
                <w:szCs w:val="20"/>
              </w:rPr>
            </w:pPr>
            <w:r>
              <w:rPr>
                <w:rFonts w:hint="eastAsia" w:ascii="宋体" w:hAnsi="宋体" w:cs="宋体"/>
                <w:color w:val="000000"/>
                <w:kern w:val="0"/>
                <w:sz w:val="20"/>
                <w:szCs w:val="20"/>
              </w:rPr>
              <w:t>见习</w:t>
            </w:r>
          </w:p>
        </w:tc>
        <w:tc>
          <w:tcPr>
            <w:tcW w:w="1250" w:type="dxa"/>
            <w:vMerge w:val="restart"/>
            <w:shd w:val="clear" w:color="auto" w:fill="auto"/>
            <w:vAlign w:val="center"/>
          </w:tcPr>
          <w:p>
            <w:pPr>
              <w:snapToGrid w:val="0"/>
              <w:spacing w:line="288" w:lineRule="auto"/>
              <w:jc w:val="center"/>
              <w:rPr>
                <w:rFonts w:ascii="宋体" w:hAnsi="宋体" w:cs="宋体"/>
                <w:color w:val="000000"/>
                <w:kern w:val="0"/>
                <w:sz w:val="20"/>
                <w:szCs w:val="20"/>
              </w:rPr>
            </w:pPr>
            <w:r>
              <w:rPr>
                <w:rFonts w:hint="eastAsia" w:ascii="宋体" w:hAnsi="宋体" w:cs="宋体"/>
                <w:color w:val="000000"/>
                <w:kern w:val="0"/>
                <w:sz w:val="20"/>
                <w:szCs w:val="20"/>
              </w:rPr>
              <w:t>操作考试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35" w:type="dxa"/>
            <w:vMerge w:val="continue"/>
            <w:shd w:val="clear" w:color="auto" w:fill="auto"/>
            <w:vAlign w:val="center"/>
          </w:tcPr>
          <w:p>
            <w:pPr>
              <w:jc w:val="center"/>
              <w:rPr>
                <w:rFonts w:ascii="宋体" w:hAnsi="宋体" w:cs="宋体"/>
                <w:color w:val="000000"/>
                <w:kern w:val="0"/>
                <w:sz w:val="20"/>
                <w:szCs w:val="20"/>
              </w:rPr>
            </w:pPr>
          </w:p>
        </w:tc>
        <w:tc>
          <w:tcPr>
            <w:tcW w:w="1175" w:type="dxa"/>
            <w:vMerge w:val="continue"/>
            <w:shd w:val="clear" w:color="auto" w:fill="auto"/>
            <w:vAlign w:val="center"/>
          </w:tcPr>
          <w:p>
            <w:pPr>
              <w:jc w:val="center"/>
              <w:rPr>
                <w:rFonts w:ascii="宋体" w:hAnsi="宋体" w:cs="宋体"/>
                <w:color w:val="000000"/>
                <w:kern w:val="0"/>
                <w:sz w:val="20"/>
                <w:szCs w:val="20"/>
              </w:rPr>
            </w:pPr>
          </w:p>
        </w:tc>
        <w:tc>
          <w:tcPr>
            <w:tcW w:w="3645" w:type="dxa"/>
            <w:shd w:val="clear" w:color="auto" w:fill="auto"/>
          </w:tcPr>
          <w:p>
            <w:pPr>
              <w:snapToGrid w:val="0"/>
              <w:spacing w:line="288" w:lineRule="auto"/>
              <w:jc w:val="left"/>
              <w:rPr>
                <w:rFonts w:ascii="宋体" w:hAnsi="宋体" w:cs="宋体"/>
                <w:color w:val="000000"/>
                <w:kern w:val="0"/>
                <w:sz w:val="20"/>
                <w:szCs w:val="20"/>
              </w:rPr>
            </w:pPr>
            <w:r>
              <w:rPr>
                <w:rFonts w:hint="eastAsia" w:ascii="宋体" w:hAnsi="宋体" w:cs="宋体"/>
                <w:color w:val="000000"/>
                <w:kern w:val="0"/>
                <w:sz w:val="20"/>
                <w:szCs w:val="20"/>
              </w:rPr>
              <w:t>2.</w:t>
            </w:r>
            <w:r>
              <w:rPr>
                <w:rFonts w:hint="eastAsia" w:ascii="宋体" w:hAnsi="宋体"/>
                <w:color w:val="000000"/>
                <w:sz w:val="20"/>
                <w:szCs w:val="20"/>
              </w:rPr>
              <w:t>能规范地进行鼻饲法管喂饮食操作；能正确运用三种方法检查胃管是否在胃内。</w:t>
            </w:r>
          </w:p>
        </w:tc>
        <w:tc>
          <w:tcPr>
            <w:tcW w:w="1321" w:type="dxa"/>
            <w:vMerge w:val="continue"/>
            <w:shd w:val="clear" w:color="auto" w:fill="auto"/>
            <w:vAlign w:val="center"/>
          </w:tcPr>
          <w:p>
            <w:pPr>
              <w:snapToGrid w:val="0"/>
              <w:spacing w:line="288" w:lineRule="auto"/>
              <w:jc w:val="center"/>
              <w:rPr>
                <w:rFonts w:ascii="宋体" w:hAnsi="宋体" w:cs="宋体"/>
                <w:color w:val="000000"/>
                <w:kern w:val="0"/>
                <w:sz w:val="20"/>
                <w:szCs w:val="20"/>
              </w:rPr>
            </w:pPr>
          </w:p>
        </w:tc>
        <w:tc>
          <w:tcPr>
            <w:tcW w:w="1250" w:type="dxa"/>
            <w:vMerge w:val="continue"/>
            <w:shd w:val="clear" w:color="auto" w:fill="auto"/>
            <w:vAlign w:val="center"/>
          </w:tcPr>
          <w:p>
            <w:pPr>
              <w:snapToGrid w:val="0"/>
              <w:spacing w:line="288" w:lineRule="auto"/>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35" w:type="dxa"/>
            <w:vMerge w:val="continue"/>
            <w:shd w:val="clear" w:color="auto" w:fill="auto"/>
            <w:vAlign w:val="center"/>
          </w:tcPr>
          <w:p>
            <w:pPr>
              <w:jc w:val="center"/>
              <w:rPr>
                <w:rFonts w:ascii="宋体" w:hAnsi="宋体" w:cs="宋体"/>
                <w:color w:val="000000"/>
                <w:kern w:val="0"/>
                <w:sz w:val="20"/>
                <w:szCs w:val="20"/>
              </w:rPr>
            </w:pPr>
          </w:p>
        </w:tc>
        <w:tc>
          <w:tcPr>
            <w:tcW w:w="1175" w:type="dxa"/>
            <w:vMerge w:val="continue"/>
            <w:shd w:val="clear" w:color="auto" w:fill="auto"/>
            <w:vAlign w:val="center"/>
          </w:tcPr>
          <w:p>
            <w:pPr>
              <w:jc w:val="center"/>
              <w:rPr>
                <w:rFonts w:ascii="宋体" w:hAnsi="宋体" w:cs="宋体"/>
                <w:color w:val="000000"/>
                <w:kern w:val="0"/>
                <w:sz w:val="20"/>
                <w:szCs w:val="20"/>
              </w:rPr>
            </w:pPr>
          </w:p>
        </w:tc>
        <w:tc>
          <w:tcPr>
            <w:tcW w:w="3645" w:type="dxa"/>
            <w:shd w:val="clear" w:color="auto" w:fill="auto"/>
          </w:tcPr>
          <w:p>
            <w:pPr>
              <w:snapToGrid w:val="0"/>
              <w:spacing w:line="288" w:lineRule="auto"/>
              <w:jc w:val="left"/>
              <w:rPr>
                <w:rFonts w:ascii="宋体" w:hAnsi="宋体" w:cs="宋体"/>
                <w:color w:val="000000"/>
                <w:kern w:val="0"/>
                <w:sz w:val="20"/>
                <w:szCs w:val="20"/>
              </w:rPr>
            </w:pPr>
            <w:r>
              <w:rPr>
                <w:rFonts w:hint="eastAsia" w:ascii="宋体" w:hAnsi="宋体" w:cs="宋体"/>
                <w:color w:val="000000"/>
                <w:kern w:val="0"/>
                <w:sz w:val="20"/>
                <w:szCs w:val="20"/>
              </w:rPr>
              <w:t>3.能规范完成导尿术、留置导尿术、大量不保留灌肠和保留灌肠的操作技术。</w:t>
            </w:r>
          </w:p>
        </w:tc>
        <w:tc>
          <w:tcPr>
            <w:tcW w:w="1321" w:type="dxa"/>
            <w:vMerge w:val="continue"/>
            <w:shd w:val="clear" w:color="auto" w:fill="auto"/>
            <w:vAlign w:val="center"/>
          </w:tcPr>
          <w:p>
            <w:pPr>
              <w:snapToGrid w:val="0"/>
              <w:spacing w:line="288" w:lineRule="auto"/>
              <w:jc w:val="center"/>
              <w:rPr>
                <w:rFonts w:ascii="宋体" w:hAnsi="宋体" w:cs="宋体"/>
                <w:color w:val="000000"/>
                <w:kern w:val="0"/>
                <w:sz w:val="20"/>
                <w:szCs w:val="20"/>
              </w:rPr>
            </w:pPr>
          </w:p>
        </w:tc>
        <w:tc>
          <w:tcPr>
            <w:tcW w:w="1250" w:type="dxa"/>
            <w:vMerge w:val="continue"/>
            <w:shd w:val="clear" w:color="auto" w:fill="auto"/>
            <w:vAlign w:val="center"/>
          </w:tcPr>
          <w:p>
            <w:pPr>
              <w:snapToGrid w:val="0"/>
              <w:spacing w:line="288" w:lineRule="auto"/>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535" w:type="dxa"/>
            <w:vMerge w:val="continue"/>
            <w:shd w:val="clear" w:color="auto" w:fill="auto"/>
            <w:vAlign w:val="center"/>
          </w:tcPr>
          <w:p>
            <w:pPr>
              <w:jc w:val="center"/>
              <w:rPr>
                <w:rFonts w:ascii="宋体" w:hAnsi="宋体" w:cs="宋体"/>
                <w:color w:val="000000"/>
                <w:kern w:val="0"/>
                <w:sz w:val="20"/>
                <w:szCs w:val="20"/>
              </w:rPr>
            </w:pPr>
          </w:p>
        </w:tc>
        <w:tc>
          <w:tcPr>
            <w:tcW w:w="1175" w:type="dxa"/>
            <w:vMerge w:val="continue"/>
            <w:shd w:val="clear" w:color="auto" w:fill="auto"/>
            <w:vAlign w:val="center"/>
          </w:tcPr>
          <w:p>
            <w:pPr>
              <w:jc w:val="center"/>
              <w:rPr>
                <w:rFonts w:ascii="宋体" w:hAnsi="宋体" w:cs="宋体"/>
                <w:color w:val="000000"/>
                <w:kern w:val="0"/>
                <w:sz w:val="20"/>
                <w:szCs w:val="20"/>
              </w:rPr>
            </w:pPr>
          </w:p>
        </w:tc>
        <w:tc>
          <w:tcPr>
            <w:tcW w:w="3645" w:type="dxa"/>
            <w:shd w:val="clear" w:color="auto" w:fill="auto"/>
          </w:tcPr>
          <w:p>
            <w:pPr>
              <w:snapToGrid w:val="0"/>
              <w:spacing w:line="288" w:lineRule="auto"/>
              <w:jc w:val="left"/>
              <w:rPr>
                <w:rFonts w:ascii="宋体" w:hAnsi="宋体" w:cs="宋体"/>
                <w:color w:val="000000"/>
                <w:kern w:val="0"/>
                <w:sz w:val="20"/>
                <w:szCs w:val="20"/>
              </w:rPr>
            </w:pPr>
            <w:r>
              <w:rPr>
                <w:rFonts w:hint="eastAsia" w:ascii="宋体" w:hAnsi="宋体" w:cs="宋体"/>
                <w:color w:val="000000"/>
                <w:kern w:val="0"/>
                <w:sz w:val="20"/>
                <w:szCs w:val="20"/>
              </w:rPr>
              <w:t>4.能正确完成发药操作；能以正确的方法进行各种药物抽吸的操作和各种注射法的操作；能正确进行超声雾化吸入法、氧气雾化吸入法的操作。</w:t>
            </w:r>
          </w:p>
        </w:tc>
        <w:tc>
          <w:tcPr>
            <w:tcW w:w="1321" w:type="dxa"/>
            <w:vMerge w:val="continue"/>
            <w:shd w:val="clear" w:color="auto" w:fill="auto"/>
            <w:vAlign w:val="center"/>
          </w:tcPr>
          <w:p>
            <w:pPr>
              <w:snapToGrid w:val="0"/>
              <w:spacing w:line="288" w:lineRule="auto"/>
              <w:jc w:val="center"/>
              <w:rPr>
                <w:rFonts w:ascii="宋体" w:hAnsi="宋体" w:cs="宋体"/>
                <w:color w:val="000000"/>
                <w:kern w:val="0"/>
                <w:sz w:val="20"/>
                <w:szCs w:val="20"/>
              </w:rPr>
            </w:pPr>
          </w:p>
        </w:tc>
        <w:tc>
          <w:tcPr>
            <w:tcW w:w="1250" w:type="dxa"/>
            <w:vMerge w:val="continue"/>
            <w:shd w:val="clear" w:color="auto" w:fill="auto"/>
            <w:vAlign w:val="center"/>
          </w:tcPr>
          <w:p>
            <w:pPr>
              <w:snapToGrid w:val="0"/>
              <w:spacing w:line="288" w:lineRule="auto"/>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535" w:type="dxa"/>
            <w:vMerge w:val="continue"/>
            <w:shd w:val="clear" w:color="auto" w:fill="auto"/>
            <w:vAlign w:val="center"/>
          </w:tcPr>
          <w:p>
            <w:pPr>
              <w:jc w:val="center"/>
              <w:rPr>
                <w:rFonts w:ascii="宋体" w:hAnsi="宋体" w:cs="宋体"/>
                <w:color w:val="000000"/>
                <w:kern w:val="0"/>
                <w:sz w:val="20"/>
                <w:szCs w:val="20"/>
              </w:rPr>
            </w:pPr>
          </w:p>
        </w:tc>
        <w:tc>
          <w:tcPr>
            <w:tcW w:w="1175" w:type="dxa"/>
            <w:vMerge w:val="continue"/>
            <w:shd w:val="clear" w:color="auto" w:fill="auto"/>
            <w:vAlign w:val="center"/>
          </w:tcPr>
          <w:p>
            <w:pPr>
              <w:jc w:val="center"/>
              <w:rPr>
                <w:rFonts w:ascii="宋体" w:hAnsi="宋体" w:cs="宋体"/>
                <w:color w:val="000000"/>
                <w:kern w:val="0"/>
                <w:sz w:val="20"/>
                <w:szCs w:val="20"/>
              </w:rPr>
            </w:pPr>
          </w:p>
        </w:tc>
        <w:tc>
          <w:tcPr>
            <w:tcW w:w="3645" w:type="dxa"/>
            <w:shd w:val="clear" w:color="auto" w:fill="auto"/>
          </w:tcPr>
          <w:p>
            <w:pPr>
              <w:snapToGrid w:val="0"/>
              <w:spacing w:line="288" w:lineRule="auto"/>
              <w:jc w:val="left"/>
              <w:rPr>
                <w:rFonts w:ascii="宋体" w:hAnsi="宋体" w:cs="宋体"/>
                <w:color w:val="000000"/>
                <w:kern w:val="0"/>
                <w:sz w:val="20"/>
                <w:szCs w:val="20"/>
              </w:rPr>
            </w:pPr>
            <w:r>
              <w:rPr>
                <w:rFonts w:hint="eastAsia" w:ascii="宋体" w:hAnsi="宋体" w:cs="宋体"/>
                <w:color w:val="000000"/>
                <w:kern w:val="0"/>
                <w:sz w:val="20"/>
                <w:szCs w:val="20"/>
              </w:rPr>
              <w:t>5.在静脉输液过程中能够正确、合理地选择穿刺部位，并能有意识地保护静脉；能正确计算静脉输液的速度和时间；能用正确的方法排除输液过程中出现的各种障碍。</w:t>
            </w:r>
          </w:p>
        </w:tc>
        <w:tc>
          <w:tcPr>
            <w:tcW w:w="1321" w:type="dxa"/>
            <w:vMerge w:val="continue"/>
            <w:shd w:val="clear" w:color="auto" w:fill="auto"/>
            <w:vAlign w:val="center"/>
          </w:tcPr>
          <w:p>
            <w:pPr>
              <w:snapToGrid w:val="0"/>
              <w:spacing w:line="288" w:lineRule="auto"/>
              <w:jc w:val="center"/>
              <w:rPr>
                <w:rFonts w:ascii="宋体" w:hAnsi="宋体" w:cs="宋体"/>
                <w:color w:val="000000"/>
                <w:kern w:val="0"/>
                <w:sz w:val="20"/>
                <w:szCs w:val="20"/>
              </w:rPr>
            </w:pPr>
          </w:p>
        </w:tc>
        <w:tc>
          <w:tcPr>
            <w:tcW w:w="1250" w:type="dxa"/>
            <w:vMerge w:val="continue"/>
            <w:shd w:val="clear" w:color="auto" w:fill="auto"/>
            <w:vAlign w:val="center"/>
          </w:tcPr>
          <w:p>
            <w:pPr>
              <w:snapToGrid w:val="0"/>
              <w:spacing w:line="288" w:lineRule="auto"/>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35" w:type="dxa"/>
            <w:vMerge w:val="continue"/>
            <w:shd w:val="clear" w:color="auto" w:fill="auto"/>
            <w:vAlign w:val="center"/>
          </w:tcPr>
          <w:p>
            <w:pPr>
              <w:jc w:val="center"/>
              <w:rPr>
                <w:rFonts w:ascii="宋体" w:hAnsi="宋体" w:cs="宋体"/>
                <w:color w:val="000000"/>
                <w:kern w:val="0"/>
                <w:sz w:val="20"/>
                <w:szCs w:val="20"/>
              </w:rPr>
            </w:pPr>
          </w:p>
        </w:tc>
        <w:tc>
          <w:tcPr>
            <w:tcW w:w="1175" w:type="dxa"/>
            <w:vMerge w:val="continue"/>
            <w:shd w:val="clear" w:color="auto" w:fill="auto"/>
            <w:vAlign w:val="center"/>
          </w:tcPr>
          <w:p>
            <w:pPr>
              <w:jc w:val="center"/>
              <w:rPr>
                <w:rFonts w:ascii="宋体" w:hAnsi="宋体" w:cs="宋体"/>
                <w:color w:val="000000"/>
                <w:kern w:val="0"/>
                <w:sz w:val="20"/>
                <w:szCs w:val="20"/>
              </w:rPr>
            </w:pPr>
          </w:p>
        </w:tc>
        <w:tc>
          <w:tcPr>
            <w:tcW w:w="3645" w:type="dxa"/>
            <w:shd w:val="clear" w:color="auto" w:fill="auto"/>
          </w:tcPr>
          <w:p>
            <w:pPr>
              <w:snapToGrid w:val="0"/>
              <w:spacing w:line="288" w:lineRule="auto"/>
              <w:jc w:val="left"/>
              <w:rPr>
                <w:rFonts w:ascii="宋体" w:hAnsi="宋体" w:cs="宋体"/>
                <w:color w:val="000000"/>
                <w:kern w:val="0"/>
                <w:sz w:val="20"/>
                <w:szCs w:val="20"/>
              </w:rPr>
            </w:pPr>
            <w:r>
              <w:rPr>
                <w:rFonts w:hint="eastAsia" w:ascii="宋体" w:hAnsi="宋体" w:cs="宋体"/>
                <w:color w:val="000000"/>
                <w:kern w:val="0"/>
                <w:sz w:val="20"/>
                <w:szCs w:val="20"/>
              </w:rPr>
              <w:t>6.能熟练进行各种标本的采集，方法正确、操作规范。</w:t>
            </w:r>
          </w:p>
        </w:tc>
        <w:tc>
          <w:tcPr>
            <w:tcW w:w="1321" w:type="dxa"/>
            <w:vMerge w:val="continue"/>
            <w:shd w:val="clear" w:color="auto" w:fill="auto"/>
            <w:vAlign w:val="center"/>
          </w:tcPr>
          <w:p>
            <w:pPr>
              <w:snapToGrid w:val="0"/>
              <w:spacing w:line="288" w:lineRule="auto"/>
              <w:jc w:val="center"/>
              <w:rPr>
                <w:rFonts w:ascii="宋体" w:hAnsi="宋体" w:cs="宋体"/>
                <w:color w:val="000000"/>
                <w:kern w:val="0"/>
                <w:sz w:val="20"/>
                <w:szCs w:val="20"/>
              </w:rPr>
            </w:pPr>
          </w:p>
        </w:tc>
        <w:tc>
          <w:tcPr>
            <w:tcW w:w="1250" w:type="dxa"/>
            <w:vMerge w:val="continue"/>
            <w:shd w:val="clear" w:color="auto" w:fill="auto"/>
            <w:vAlign w:val="center"/>
          </w:tcPr>
          <w:p>
            <w:pPr>
              <w:snapToGrid w:val="0"/>
              <w:spacing w:line="288" w:lineRule="auto"/>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535" w:type="dxa"/>
            <w:vMerge w:val="continue"/>
            <w:shd w:val="clear" w:color="auto" w:fill="auto"/>
            <w:vAlign w:val="center"/>
          </w:tcPr>
          <w:p>
            <w:pPr>
              <w:jc w:val="center"/>
              <w:rPr>
                <w:rFonts w:ascii="宋体" w:hAnsi="宋体" w:cs="宋体"/>
                <w:color w:val="000000"/>
                <w:kern w:val="0"/>
                <w:sz w:val="20"/>
                <w:szCs w:val="20"/>
              </w:rPr>
            </w:pPr>
          </w:p>
        </w:tc>
        <w:tc>
          <w:tcPr>
            <w:tcW w:w="1175" w:type="dxa"/>
            <w:vMerge w:val="continue"/>
            <w:shd w:val="clear" w:color="auto" w:fill="auto"/>
            <w:vAlign w:val="center"/>
          </w:tcPr>
          <w:p>
            <w:pPr>
              <w:jc w:val="center"/>
              <w:rPr>
                <w:rFonts w:ascii="宋体" w:hAnsi="宋体" w:cs="宋体"/>
                <w:color w:val="000000"/>
                <w:kern w:val="0"/>
                <w:sz w:val="20"/>
                <w:szCs w:val="20"/>
              </w:rPr>
            </w:pPr>
          </w:p>
        </w:tc>
        <w:tc>
          <w:tcPr>
            <w:tcW w:w="3645" w:type="dxa"/>
            <w:shd w:val="clear" w:color="auto" w:fill="auto"/>
          </w:tcPr>
          <w:p>
            <w:pPr>
              <w:snapToGrid w:val="0"/>
              <w:spacing w:line="288" w:lineRule="auto"/>
              <w:jc w:val="left"/>
              <w:rPr>
                <w:rFonts w:ascii="宋体" w:hAnsi="宋体" w:cs="宋体"/>
                <w:color w:val="000000"/>
                <w:kern w:val="0"/>
                <w:sz w:val="20"/>
                <w:szCs w:val="20"/>
              </w:rPr>
            </w:pPr>
            <w:r>
              <w:rPr>
                <w:rFonts w:hint="eastAsia" w:ascii="宋体" w:hAnsi="宋体" w:cs="宋体"/>
                <w:color w:val="000000"/>
                <w:kern w:val="0"/>
                <w:sz w:val="20"/>
                <w:szCs w:val="20"/>
              </w:rPr>
              <w:t>7.能结合疼痛病人的实际情况，选择合适的评估工具对其疼痛程度进行正确评估；能结合疼痛病人的实际情况，采取有针对性及有效的控制疼痛的护理措施。</w:t>
            </w:r>
          </w:p>
        </w:tc>
        <w:tc>
          <w:tcPr>
            <w:tcW w:w="1321" w:type="dxa"/>
            <w:vMerge w:val="continue"/>
            <w:shd w:val="clear" w:color="auto" w:fill="auto"/>
            <w:vAlign w:val="center"/>
          </w:tcPr>
          <w:p>
            <w:pPr>
              <w:snapToGrid w:val="0"/>
              <w:spacing w:line="288" w:lineRule="auto"/>
              <w:jc w:val="center"/>
              <w:rPr>
                <w:rFonts w:ascii="宋体" w:hAnsi="宋体" w:cs="宋体"/>
                <w:color w:val="000000"/>
                <w:kern w:val="0"/>
                <w:sz w:val="20"/>
                <w:szCs w:val="20"/>
              </w:rPr>
            </w:pPr>
          </w:p>
        </w:tc>
        <w:tc>
          <w:tcPr>
            <w:tcW w:w="1250" w:type="dxa"/>
            <w:vMerge w:val="continue"/>
            <w:shd w:val="clear" w:color="auto" w:fill="auto"/>
            <w:vAlign w:val="center"/>
          </w:tcPr>
          <w:p>
            <w:pPr>
              <w:snapToGrid w:val="0"/>
              <w:spacing w:line="288" w:lineRule="auto"/>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535" w:type="dxa"/>
            <w:vMerge w:val="continue"/>
            <w:shd w:val="clear" w:color="auto" w:fill="auto"/>
            <w:vAlign w:val="center"/>
          </w:tcPr>
          <w:p>
            <w:pPr>
              <w:jc w:val="center"/>
              <w:rPr>
                <w:rFonts w:ascii="宋体" w:hAnsi="宋体" w:cs="宋体"/>
                <w:color w:val="000000"/>
                <w:kern w:val="0"/>
                <w:sz w:val="20"/>
                <w:szCs w:val="20"/>
              </w:rPr>
            </w:pPr>
          </w:p>
        </w:tc>
        <w:tc>
          <w:tcPr>
            <w:tcW w:w="1175" w:type="dxa"/>
            <w:vMerge w:val="continue"/>
            <w:shd w:val="clear" w:color="auto" w:fill="auto"/>
            <w:vAlign w:val="center"/>
          </w:tcPr>
          <w:p>
            <w:pPr>
              <w:jc w:val="center"/>
              <w:rPr>
                <w:rFonts w:ascii="宋体" w:hAnsi="宋体" w:cs="宋体"/>
                <w:color w:val="000000"/>
                <w:kern w:val="0"/>
                <w:sz w:val="20"/>
                <w:szCs w:val="20"/>
              </w:rPr>
            </w:pPr>
          </w:p>
        </w:tc>
        <w:tc>
          <w:tcPr>
            <w:tcW w:w="3645" w:type="dxa"/>
            <w:shd w:val="clear" w:color="auto" w:fill="auto"/>
          </w:tcPr>
          <w:p>
            <w:pPr>
              <w:snapToGrid w:val="0"/>
              <w:spacing w:line="288" w:lineRule="auto"/>
              <w:jc w:val="left"/>
              <w:rPr>
                <w:rFonts w:ascii="宋体" w:hAnsi="宋体" w:cs="宋体"/>
                <w:color w:val="000000"/>
                <w:kern w:val="0"/>
                <w:sz w:val="20"/>
                <w:szCs w:val="20"/>
              </w:rPr>
            </w:pPr>
            <w:r>
              <w:rPr>
                <w:rFonts w:hint="eastAsia" w:ascii="宋体" w:hAnsi="宋体" w:cs="宋体"/>
                <w:color w:val="000000"/>
                <w:kern w:val="0"/>
                <w:sz w:val="20"/>
                <w:szCs w:val="20"/>
              </w:rPr>
              <w:t>8.按照正确的原则和方法完成洗胃法和简易人工呼吸器的操作。</w:t>
            </w:r>
          </w:p>
        </w:tc>
        <w:tc>
          <w:tcPr>
            <w:tcW w:w="1321" w:type="dxa"/>
            <w:vMerge w:val="continue"/>
            <w:shd w:val="clear" w:color="auto" w:fill="auto"/>
            <w:vAlign w:val="center"/>
          </w:tcPr>
          <w:p>
            <w:pPr>
              <w:snapToGrid w:val="0"/>
              <w:spacing w:line="288" w:lineRule="auto"/>
              <w:jc w:val="center"/>
              <w:rPr>
                <w:rFonts w:ascii="宋体" w:hAnsi="宋体" w:cs="宋体"/>
                <w:color w:val="000000"/>
                <w:kern w:val="0"/>
                <w:sz w:val="20"/>
                <w:szCs w:val="20"/>
              </w:rPr>
            </w:pPr>
          </w:p>
        </w:tc>
        <w:tc>
          <w:tcPr>
            <w:tcW w:w="1250" w:type="dxa"/>
            <w:vMerge w:val="continue"/>
            <w:shd w:val="clear" w:color="auto" w:fill="auto"/>
            <w:vAlign w:val="center"/>
          </w:tcPr>
          <w:p>
            <w:pPr>
              <w:snapToGrid w:val="0"/>
              <w:spacing w:line="288" w:lineRule="auto"/>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535" w:type="dxa"/>
            <w:vMerge w:val="continue"/>
            <w:shd w:val="clear" w:color="auto" w:fill="auto"/>
            <w:vAlign w:val="center"/>
          </w:tcPr>
          <w:p>
            <w:pPr>
              <w:jc w:val="center"/>
              <w:rPr>
                <w:rFonts w:ascii="宋体" w:hAnsi="宋体" w:cs="宋体"/>
                <w:color w:val="000000"/>
                <w:kern w:val="0"/>
                <w:sz w:val="20"/>
                <w:szCs w:val="20"/>
              </w:rPr>
            </w:pPr>
          </w:p>
        </w:tc>
        <w:tc>
          <w:tcPr>
            <w:tcW w:w="1175" w:type="dxa"/>
            <w:vMerge w:val="continue"/>
            <w:shd w:val="clear" w:color="auto" w:fill="auto"/>
            <w:vAlign w:val="center"/>
          </w:tcPr>
          <w:p>
            <w:pPr>
              <w:jc w:val="center"/>
              <w:rPr>
                <w:rFonts w:ascii="宋体" w:hAnsi="宋体" w:cs="宋体"/>
                <w:color w:val="000000"/>
                <w:kern w:val="0"/>
                <w:sz w:val="20"/>
                <w:szCs w:val="20"/>
              </w:rPr>
            </w:pPr>
          </w:p>
        </w:tc>
        <w:tc>
          <w:tcPr>
            <w:tcW w:w="3645" w:type="dxa"/>
            <w:shd w:val="clear" w:color="auto" w:fill="auto"/>
          </w:tcPr>
          <w:p>
            <w:pPr>
              <w:snapToGrid w:val="0"/>
              <w:spacing w:line="288" w:lineRule="auto"/>
              <w:jc w:val="left"/>
              <w:rPr>
                <w:rFonts w:ascii="宋体" w:hAnsi="宋体" w:cs="宋体"/>
                <w:color w:val="000000"/>
                <w:kern w:val="0"/>
                <w:sz w:val="20"/>
                <w:szCs w:val="20"/>
              </w:rPr>
            </w:pPr>
            <w:r>
              <w:rPr>
                <w:rFonts w:hint="eastAsia" w:ascii="宋体" w:hAnsi="宋体" w:cs="宋体"/>
                <w:color w:val="000000"/>
                <w:kern w:val="0"/>
                <w:sz w:val="20"/>
                <w:szCs w:val="20"/>
              </w:rPr>
              <w:t>9.能按正确的操作规程对逝者进行尸体料理。</w:t>
            </w:r>
          </w:p>
        </w:tc>
        <w:tc>
          <w:tcPr>
            <w:tcW w:w="1321" w:type="dxa"/>
            <w:vMerge w:val="continue"/>
            <w:shd w:val="clear" w:color="auto" w:fill="auto"/>
            <w:vAlign w:val="center"/>
          </w:tcPr>
          <w:p>
            <w:pPr>
              <w:snapToGrid w:val="0"/>
              <w:spacing w:line="288" w:lineRule="auto"/>
              <w:jc w:val="center"/>
              <w:rPr>
                <w:rFonts w:ascii="宋体" w:hAnsi="宋体" w:cs="宋体"/>
                <w:color w:val="000000"/>
                <w:kern w:val="0"/>
                <w:sz w:val="20"/>
                <w:szCs w:val="20"/>
              </w:rPr>
            </w:pPr>
          </w:p>
        </w:tc>
        <w:tc>
          <w:tcPr>
            <w:tcW w:w="1250" w:type="dxa"/>
            <w:vMerge w:val="continue"/>
            <w:shd w:val="clear" w:color="auto" w:fill="auto"/>
            <w:vAlign w:val="center"/>
          </w:tcPr>
          <w:p>
            <w:pPr>
              <w:snapToGrid w:val="0"/>
              <w:spacing w:line="288" w:lineRule="auto"/>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175" w:type="dxa"/>
            <w:shd w:val="clear" w:color="auto" w:fill="auto"/>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LO712</w:t>
            </w:r>
          </w:p>
        </w:tc>
        <w:tc>
          <w:tcPr>
            <w:tcW w:w="3645" w:type="dxa"/>
            <w:shd w:val="clear" w:color="auto" w:fill="auto"/>
          </w:tcPr>
          <w:p>
            <w:pPr>
              <w:rPr>
                <w:rFonts w:ascii="宋体" w:hAnsi="宋体" w:cs="宋体"/>
                <w:color w:val="000000"/>
                <w:kern w:val="0"/>
                <w:sz w:val="20"/>
                <w:szCs w:val="20"/>
              </w:rPr>
            </w:pPr>
            <w:r>
              <w:rPr>
                <w:rFonts w:hint="eastAsia" w:ascii="宋体" w:hAnsi="宋体" w:cs="宋体"/>
                <w:color w:val="000000"/>
                <w:kern w:val="0"/>
                <w:sz w:val="20"/>
                <w:szCs w:val="20"/>
              </w:rPr>
              <w:t>关爱生命，平等、博爱，体现人道主义精神和全心全意为护理对象的健康服务的专业精神。</w:t>
            </w:r>
          </w:p>
        </w:tc>
        <w:tc>
          <w:tcPr>
            <w:tcW w:w="1321" w:type="dxa"/>
            <w:shd w:val="clear" w:color="auto" w:fill="auto"/>
            <w:vAlign w:val="center"/>
          </w:tcPr>
          <w:p>
            <w:pPr>
              <w:snapToGrid w:val="0"/>
              <w:spacing w:line="288" w:lineRule="auto"/>
              <w:jc w:val="center"/>
              <w:rPr>
                <w:rFonts w:ascii="宋体" w:hAnsi="宋体" w:cs="宋体"/>
                <w:sz w:val="20"/>
                <w:szCs w:val="20"/>
              </w:rPr>
            </w:pPr>
            <w:r>
              <w:rPr>
                <w:rFonts w:hint="eastAsia" w:ascii="宋体" w:hAnsi="宋体" w:cs="宋体"/>
                <w:color w:val="000000"/>
                <w:kern w:val="0"/>
                <w:sz w:val="20"/>
                <w:szCs w:val="20"/>
              </w:rPr>
              <w:t>情景演示</w:t>
            </w:r>
          </w:p>
        </w:tc>
        <w:tc>
          <w:tcPr>
            <w:tcW w:w="1250" w:type="dxa"/>
            <w:shd w:val="clear" w:color="auto" w:fill="auto"/>
            <w:vAlign w:val="center"/>
          </w:tcPr>
          <w:p>
            <w:pPr>
              <w:snapToGrid w:val="0"/>
              <w:spacing w:line="288" w:lineRule="auto"/>
              <w:jc w:val="center"/>
              <w:rPr>
                <w:rFonts w:ascii="宋体" w:hAnsi="宋体" w:cs="宋体"/>
                <w:sz w:val="20"/>
                <w:szCs w:val="20"/>
              </w:rPr>
            </w:pPr>
            <w:r>
              <w:rPr>
                <w:rFonts w:hint="eastAsia" w:ascii="宋体" w:hAnsi="宋体" w:cs="宋体"/>
                <w:color w:val="000000"/>
                <w:kern w:val="0"/>
                <w:sz w:val="20"/>
                <w:szCs w:val="20"/>
              </w:rPr>
              <w:t>表现性评价</w:t>
            </w:r>
          </w:p>
        </w:tc>
      </w:tr>
    </w:tbl>
    <w:p>
      <w:pPr>
        <w:widowControl/>
        <w:spacing w:before="156" w:beforeLines="50" w:after="156" w:afterLines="50" w:line="288" w:lineRule="auto"/>
        <w:ind w:firstLine="360" w:firstLineChars="150"/>
        <w:jc w:val="left"/>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tbl>
      <w:tblPr>
        <w:tblStyle w:val="4"/>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
        <w:gridCol w:w="690"/>
        <w:gridCol w:w="1988"/>
        <w:gridCol w:w="1674"/>
        <w:gridCol w:w="1312"/>
        <w:gridCol w:w="1312"/>
        <w:gridCol w:w="344"/>
        <w:gridCol w:w="440"/>
        <w:gridCol w:w="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341" w:type="dxa"/>
            <w:vAlign w:val="center"/>
          </w:tcPr>
          <w:p>
            <w:pPr>
              <w:snapToGrid w:val="0"/>
              <w:spacing w:line="288" w:lineRule="auto"/>
              <w:jc w:val="center"/>
              <w:rPr>
                <w:rFonts w:ascii="宋体" w:hAnsi="Times New Roman"/>
                <w:b/>
                <w:color w:val="000000"/>
                <w:sz w:val="20"/>
                <w:szCs w:val="20"/>
              </w:rPr>
            </w:pPr>
            <w:r>
              <w:rPr>
                <w:rFonts w:hint="eastAsia" w:ascii="宋体" w:hAnsi="宋体"/>
                <w:b/>
                <w:color w:val="000000"/>
                <w:sz w:val="20"/>
                <w:szCs w:val="20"/>
              </w:rPr>
              <w:t>序号</w:t>
            </w:r>
          </w:p>
        </w:tc>
        <w:tc>
          <w:tcPr>
            <w:tcW w:w="690" w:type="dxa"/>
            <w:vAlign w:val="center"/>
          </w:tcPr>
          <w:p>
            <w:pPr>
              <w:snapToGrid w:val="0"/>
              <w:spacing w:line="288" w:lineRule="auto"/>
              <w:jc w:val="center"/>
              <w:rPr>
                <w:rFonts w:ascii="宋体" w:hAnsi="Times New Roman"/>
                <w:b/>
                <w:color w:val="000000"/>
                <w:sz w:val="20"/>
                <w:szCs w:val="20"/>
              </w:rPr>
            </w:pPr>
            <w:r>
              <w:rPr>
                <w:rFonts w:hint="eastAsia" w:ascii="宋体" w:hAnsi="宋体"/>
                <w:b/>
                <w:color w:val="000000"/>
                <w:sz w:val="20"/>
                <w:szCs w:val="20"/>
              </w:rPr>
              <w:t>单元名称</w:t>
            </w:r>
          </w:p>
        </w:tc>
        <w:tc>
          <w:tcPr>
            <w:tcW w:w="1988" w:type="dxa"/>
            <w:vAlign w:val="center"/>
          </w:tcPr>
          <w:p>
            <w:pPr>
              <w:snapToGrid w:val="0"/>
              <w:spacing w:line="288" w:lineRule="auto"/>
              <w:jc w:val="center"/>
              <w:rPr>
                <w:rFonts w:ascii="宋体" w:hAnsi="Times New Roman"/>
                <w:b/>
                <w:color w:val="000000"/>
                <w:sz w:val="20"/>
                <w:szCs w:val="20"/>
              </w:rPr>
            </w:pPr>
            <w:r>
              <w:rPr>
                <w:rFonts w:hint="eastAsia" w:ascii="宋体" w:hAnsi="宋体"/>
                <w:b/>
                <w:color w:val="000000"/>
                <w:sz w:val="20"/>
                <w:szCs w:val="20"/>
              </w:rPr>
              <w:t>知识点</w:t>
            </w:r>
          </w:p>
        </w:tc>
        <w:tc>
          <w:tcPr>
            <w:tcW w:w="1674" w:type="dxa"/>
            <w:vAlign w:val="center"/>
          </w:tcPr>
          <w:p>
            <w:pPr>
              <w:snapToGrid w:val="0"/>
              <w:spacing w:line="288" w:lineRule="auto"/>
              <w:jc w:val="center"/>
              <w:rPr>
                <w:rFonts w:ascii="宋体" w:hAnsi="Times New Roman"/>
                <w:b/>
                <w:color w:val="000000"/>
                <w:sz w:val="20"/>
                <w:szCs w:val="20"/>
              </w:rPr>
            </w:pPr>
            <w:r>
              <w:rPr>
                <w:rFonts w:hint="eastAsia" w:ascii="宋体" w:hAnsi="宋体"/>
                <w:b/>
                <w:color w:val="000000"/>
                <w:sz w:val="20"/>
                <w:szCs w:val="20"/>
              </w:rPr>
              <w:t>能力要求</w:t>
            </w:r>
          </w:p>
        </w:tc>
        <w:tc>
          <w:tcPr>
            <w:tcW w:w="1312" w:type="dxa"/>
            <w:vAlign w:val="center"/>
          </w:tcPr>
          <w:p>
            <w:pPr>
              <w:snapToGrid w:val="0"/>
              <w:spacing w:line="288" w:lineRule="auto"/>
              <w:jc w:val="center"/>
              <w:rPr>
                <w:rFonts w:ascii="宋体" w:hAnsi="宋体"/>
                <w:b/>
                <w:color w:val="000000"/>
                <w:sz w:val="20"/>
                <w:szCs w:val="20"/>
              </w:rPr>
            </w:pPr>
            <w:r>
              <w:rPr>
                <w:rFonts w:hint="eastAsia" w:ascii="宋体" w:hAnsi="宋体"/>
                <w:b/>
                <w:color w:val="000000"/>
                <w:sz w:val="20"/>
                <w:szCs w:val="20"/>
              </w:rPr>
              <w:t>情感目标</w:t>
            </w:r>
          </w:p>
        </w:tc>
        <w:tc>
          <w:tcPr>
            <w:tcW w:w="1312" w:type="dxa"/>
            <w:vAlign w:val="center"/>
          </w:tcPr>
          <w:p>
            <w:pPr>
              <w:snapToGrid w:val="0"/>
              <w:spacing w:line="288" w:lineRule="auto"/>
              <w:jc w:val="center"/>
              <w:rPr>
                <w:rFonts w:ascii="宋体" w:hAnsi="Times New Roman"/>
                <w:b/>
                <w:color w:val="000000"/>
                <w:sz w:val="20"/>
                <w:szCs w:val="20"/>
              </w:rPr>
            </w:pPr>
            <w:r>
              <w:rPr>
                <w:rFonts w:hint="eastAsia" w:ascii="宋体" w:hAnsi="宋体"/>
                <w:b/>
                <w:color w:val="000000"/>
                <w:sz w:val="20"/>
                <w:szCs w:val="20"/>
              </w:rPr>
              <w:t>教学难点</w:t>
            </w:r>
          </w:p>
        </w:tc>
        <w:tc>
          <w:tcPr>
            <w:tcW w:w="344" w:type="dxa"/>
            <w:vAlign w:val="center"/>
          </w:tcPr>
          <w:p>
            <w:pPr>
              <w:snapToGrid w:val="0"/>
              <w:spacing w:line="288" w:lineRule="auto"/>
              <w:jc w:val="center"/>
              <w:rPr>
                <w:rFonts w:ascii="宋体"/>
                <w:b/>
                <w:color w:val="000000"/>
                <w:sz w:val="20"/>
                <w:szCs w:val="20"/>
              </w:rPr>
            </w:pPr>
            <w:r>
              <w:rPr>
                <w:rFonts w:hint="eastAsia" w:ascii="宋体" w:hAnsi="宋体"/>
                <w:b/>
                <w:color w:val="000000"/>
                <w:sz w:val="20"/>
                <w:szCs w:val="20"/>
              </w:rPr>
              <w:t>理论时数</w:t>
            </w:r>
          </w:p>
        </w:tc>
        <w:tc>
          <w:tcPr>
            <w:tcW w:w="440" w:type="dxa"/>
            <w:vAlign w:val="center"/>
          </w:tcPr>
          <w:p>
            <w:pPr>
              <w:snapToGrid w:val="0"/>
              <w:spacing w:line="288" w:lineRule="auto"/>
              <w:jc w:val="center"/>
              <w:rPr>
                <w:rFonts w:ascii="宋体"/>
                <w:b/>
                <w:color w:val="000000"/>
                <w:sz w:val="20"/>
                <w:szCs w:val="20"/>
              </w:rPr>
            </w:pPr>
            <w:r>
              <w:rPr>
                <w:rFonts w:hint="eastAsia" w:ascii="宋体" w:hAnsi="宋体"/>
                <w:b/>
                <w:color w:val="000000"/>
                <w:sz w:val="20"/>
                <w:szCs w:val="20"/>
              </w:rPr>
              <w:t>实践时数</w:t>
            </w:r>
          </w:p>
        </w:tc>
        <w:tc>
          <w:tcPr>
            <w:tcW w:w="418" w:type="dxa"/>
            <w:vAlign w:val="center"/>
          </w:tcPr>
          <w:p>
            <w:pPr>
              <w:snapToGrid w:val="0"/>
              <w:spacing w:line="288" w:lineRule="auto"/>
              <w:jc w:val="center"/>
              <w:rPr>
                <w:rFonts w:ascii="宋体"/>
                <w:b/>
                <w:color w:val="000000"/>
                <w:sz w:val="20"/>
                <w:szCs w:val="20"/>
              </w:rPr>
            </w:pPr>
            <w:r>
              <w:rPr>
                <w:rFonts w:hint="eastAsia" w:ascii="宋体" w:hAnsi="宋体"/>
                <w:b/>
                <w:color w:val="000000"/>
                <w:sz w:val="20"/>
                <w:szCs w:val="20"/>
              </w:rPr>
              <w:t>总时数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41" w:type="dxa"/>
            <w:vAlign w:val="center"/>
          </w:tcPr>
          <w:p>
            <w:pPr>
              <w:snapToGrid w:val="0"/>
              <w:spacing w:line="288" w:lineRule="auto"/>
              <w:jc w:val="center"/>
              <w:rPr>
                <w:rFonts w:ascii="宋体"/>
                <w:color w:val="000000"/>
                <w:sz w:val="20"/>
                <w:szCs w:val="20"/>
              </w:rPr>
            </w:pPr>
            <w:r>
              <w:rPr>
                <w:rFonts w:ascii="宋体" w:hAnsi="宋体"/>
                <w:color w:val="000000"/>
                <w:sz w:val="20"/>
                <w:szCs w:val="20"/>
              </w:rPr>
              <w:t>1</w:t>
            </w:r>
          </w:p>
        </w:tc>
        <w:tc>
          <w:tcPr>
            <w:tcW w:w="690" w:type="dxa"/>
            <w:vAlign w:val="center"/>
          </w:tcPr>
          <w:p>
            <w:pPr>
              <w:snapToGrid w:val="0"/>
              <w:spacing w:line="288" w:lineRule="auto"/>
              <w:jc w:val="center"/>
              <w:rPr>
                <w:rFonts w:ascii="宋体"/>
                <w:color w:val="000000"/>
                <w:sz w:val="20"/>
                <w:szCs w:val="20"/>
              </w:rPr>
            </w:pPr>
            <w:r>
              <w:rPr>
                <w:rFonts w:hint="eastAsia" w:ascii="宋体" w:hAnsi="宋体"/>
                <w:color w:val="000000"/>
                <w:sz w:val="20"/>
                <w:szCs w:val="20"/>
              </w:rPr>
              <w:t>冷热疗法</w:t>
            </w:r>
          </w:p>
        </w:tc>
        <w:tc>
          <w:tcPr>
            <w:tcW w:w="1988"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1.知道冷、热疗法的生理效应和继发效应。</w:t>
            </w:r>
          </w:p>
          <w:p>
            <w:pPr>
              <w:snapToGrid w:val="0"/>
              <w:spacing w:line="288" w:lineRule="auto"/>
              <w:jc w:val="left"/>
              <w:rPr>
                <w:rFonts w:ascii="宋体" w:hAnsi="宋体"/>
                <w:color w:val="000000"/>
                <w:sz w:val="20"/>
                <w:szCs w:val="20"/>
              </w:rPr>
            </w:pPr>
            <w:r>
              <w:rPr>
                <w:rFonts w:hint="eastAsia" w:ascii="宋体" w:hAnsi="宋体"/>
                <w:color w:val="000000"/>
                <w:sz w:val="20"/>
                <w:szCs w:val="20"/>
              </w:rPr>
              <w:t>2.知道影响冷、热疗法效果的因素。</w:t>
            </w:r>
          </w:p>
          <w:p>
            <w:pPr>
              <w:snapToGrid w:val="0"/>
              <w:spacing w:line="288" w:lineRule="auto"/>
              <w:jc w:val="left"/>
              <w:rPr>
                <w:rFonts w:ascii="宋体" w:hAnsi="宋体"/>
                <w:color w:val="000000"/>
                <w:sz w:val="20"/>
                <w:szCs w:val="20"/>
              </w:rPr>
            </w:pPr>
            <w:r>
              <w:rPr>
                <w:rFonts w:hint="eastAsia" w:ascii="宋体" w:hAnsi="宋体"/>
                <w:color w:val="000000"/>
                <w:sz w:val="20"/>
                <w:szCs w:val="20"/>
              </w:rPr>
              <w:t>3.理解冷、热疗法、继发效应的概念。</w:t>
            </w:r>
          </w:p>
          <w:p>
            <w:pPr>
              <w:snapToGrid w:val="0"/>
              <w:spacing w:line="288" w:lineRule="auto"/>
              <w:jc w:val="left"/>
              <w:rPr>
                <w:rFonts w:ascii="宋体" w:hAnsi="宋体"/>
                <w:color w:val="000000"/>
                <w:sz w:val="20"/>
                <w:szCs w:val="20"/>
              </w:rPr>
            </w:pPr>
            <w:r>
              <w:rPr>
                <w:rFonts w:hint="eastAsia" w:ascii="宋体" w:hAnsi="宋体"/>
                <w:color w:val="000000"/>
                <w:sz w:val="20"/>
                <w:szCs w:val="20"/>
              </w:rPr>
              <w:t>4.理解冷疗法和热疗法的禁忌。</w:t>
            </w:r>
          </w:p>
          <w:p>
            <w:pPr>
              <w:snapToGrid w:val="0"/>
              <w:spacing w:line="288" w:lineRule="auto"/>
              <w:jc w:val="left"/>
              <w:rPr>
                <w:rFonts w:ascii="宋体" w:hAnsi="宋体"/>
                <w:color w:val="000000"/>
                <w:sz w:val="20"/>
                <w:szCs w:val="20"/>
              </w:rPr>
            </w:pPr>
            <w:r>
              <w:rPr>
                <w:rFonts w:hint="eastAsia" w:ascii="宋体" w:hAnsi="宋体"/>
                <w:color w:val="000000"/>
                <w:sz w:val="20"/>
                <w:szCs w:val="20"/>
              </w:rPr>
              <w:t>5.理解各种冷疗法、热疗法的目的和方法。</w:t>
            </w:r>
          </w:p>
        </w:tc>
        <w:tc>
          <w:tcPr>
            <w:tcW w:w="1674" w:type="dxa"/>
          </w:tcPr>
          <w:p>
            <w:pPr>
              <w:snapToGrid w:val="0"/>
              <w:spacing w:line="288" w:lineRule="auto"/>
              <w:jc w:val="left"/>
              <w:rPr>
                <w:rFonts w:ascii="宋体" w:hAnsi="Times New Roman"/>
                <w:b/>
                <w:color w:val="000000"/>
                <w:sz w:val="20"/>
                <w:szCs w:val="20"/>
              </w:rPr>
            </w:pPr>
            <w:r>
              <w:rPr>
                <w:rFonts w:hint="eastAsia" w:ascii="宋体" w:hAnsi="宋体"/>
                <w:color w:val="000000"/>
                <w:sz w:val="20"/>
                <w:szCs w:val="20"/>
              </w:rPr>
              <w:t>能运用所学知识，正确选择并实施冷、热疗法,操作规范、正确、认真，关心病人。</w:t>
            </w:r>
          </w:p>
        </w:tc>
        <w:tc>
          <w:tcPr>
            <w:tcW w:w="1312"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1.具有严谨求实的工作作风和对病人高度负责的工作态度。</w:t>
            </w:r>
          </w:p>
          <w:p>
            <w:pPr>
              <w:snapToGrid w:val="0"/>
              <w:spacing w:line="288" w:lineRule="auto"/>
              <w:jc w:val="left"/>
              <w:rPr>
                <w:rFonts w:ascii="宋体" w:hAnsi="宋体"/>
                <w:color w:val="000000"/>
                <w:sz w:val="20"/>
                <w:szCs w:val="20"/>
              </w:rPr>
            </w:pPr>
            <w:r>
              <w:rPr>
                <w:rFonts w:hint="eastAsia" w:ascii="宋体" w:hAnsi="宋体"/>
                <w:color w:val="000000"/>
                <w:sz w:val="20"/>
                <w:szCs w:val="20"/>
              </w:rPr>
              <w:t>2.尊重、关心和体谅病人。</w:t>
            </w:r>
          </w:p>
          <w:p>
            <w:pPr>
              <w:snapToGrid w:val="0"/>
              <w:spacing w:line="288" w:lineRule="auto"/>
              <w:jc w:val="left"/>
              <w:rPr>
                <w:rFonts w:ascii="宋体" w:hAnsi="宋体"/>
                <w:color w:val="000000"/>
                <w:sz w:val="20"/>
                <w:szCs w:val="20"/>
              </w:rPr>
            </w:pPr>
          </w:p>
        </w:tc>
        <w:tc>
          <w:tcPr>
            <w:tcW w:w="1312"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1.冷疗法和热疗法的禁忌</w:t>
            </w:r>
          </w:p>
          <w:p>
            <w:pPr>
              <w:snapToGrid w:val="0"/>
              <w:spacing w:line="288" w:lineRule="auto"/>
              <w:jc w:val="left"/>
              <w:rPr>
                <w:rFonts w:ascii="宋体" w:hAnsi="Times New Roman"/>
                <w:b/>
                <w:color w:val="000000"/>
                <w:sz w:val="20"/>
                <w:szCs w:val="20"/>
              </w:rPr>
            </w:pPr>
            <w:r>
              <w:rPr>
                <w:rFonts w:hint="eastAsia" w:ascii="宋体" w:hAnsi="宋体"/>
                <w:color w:val="000000"/>
                <w:sz w:val="20"/>
                <w:szCs w:val="20"/>
              </w:rPr>
              <w:t>2.各种冷疗法、热疗法的目的和方法</w:t>
            </w:r>
          </w:p>
        </w:tc>
        <w:tc>
          <w:tcPr>
            <w:tcW w:w="344" w:type="dxa"/>
          </w:tcPr>
          <w:p>
            <w:pPr>
              <w:snapToGrid w:val="0"/>
              <w:spacing w:line="288" w:lineRule="auto"/>
              <w:jc w:val="left"/>
              <w:rPr>
                <w:rFonts w:ascii="宋体"/>
                <w:color w:val="000000"/>
                <w:sz w:val="20"/>
                <w:szCs w:val="20"/>
              </w:rPr>
            </w:pPr>
            <w:r>
              <w:rPr>
                <w:rFonts w:ascii="宋体" w:hAnsi="宋体"/>
                <w:color w:val="000000"/>
                <w:sz w:val="20"/>
                <w:szCs w:val="20"/>
              </w:rPr>
              <w:t>2</w:t>
            </w:r>
          </w:p>
        </w:tc>
        <w:tc>
          <w:tcPr>
            <w:tcW w:w="440" w:type="dxa"/>
          </w:tcPr>
          <w:p>
            <w:pPr>
              <w:snapToGrid w:val="0"/>
              <w:spacing w:line="288" w:lineRule="auto"/>
              <w:jc w:val="left"/>
              <w:rPr>
                <w:rFonts w:ascii="宋体"/>
                <w:color w:val="000000"/>
                <w:sz w:val="20"/>
                <w:szCs w:val="20"/>
              </w:rPr>
            </w:pPr>
            <w:r>
              <w:rPr>
                <w:rFonts w:hint="eastAsia" w:ascii="宋体" w:hAnsi="宋体"/>
                <w:color w:val="000000"/>
                <w:sz w:val="20"/>
                <w:szCs w:val="20"/>
              </w:rPr>
              <w:t>2</w:t>
            </w:r>
          </w:p>
        </w:tc>
        <w:tc>
          <w:tcPr>
            <w:tcW w:w="418" w:type="dxa"/>
          </w:tcPr>
          <w:p>
            <w:pPr>
              <w:snapToGrid w:val="0"/>
              <w:spacing w:line="288" w:lineRule="auto"/>
              <w:jc w:val="left"/>
              <w:rPr>
                <w:rFonts w:ascii="宋体"/>
                <w:color w:val="000000"/>
                <w:sz w:val="20"/>
                <w:szCs w:val="20"/>
              </w:rPr>
            </w:pPr>
            <w:r>
              <w:rPr>
                <w:rFonts w:hint="eastAsia" w:ascii="宋体" w:hAnsi="宋体"/>
                <w:color w:val="00000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41" w:type="dxa"/>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2</w:t>
            </w:r>
          </w:p>
        </w:tc>
        <w:tc>
          <w:tcPr>
            <w:tcW w:w="690" w:type="dxa"/>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饮食护理</w:t>
            </w:r>
          </w:p>
        </w:tc>
        <w:tc>
          <w:tcPr>
            <w:tcW w:w="1988"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1.知道六大营养素的种类。</w:t>
            </w:r>
          </w:p>
          <w:p>
            <w:pPr>
              <w:snapToGrid w:val="0"/>
              <w:spacing w:line="288" w:lineRule="auto"/>
              <w:jc w:val="left"/>
              <w:rPr>
                <w:rFonts w:ascii="宋体" w:hAnsi="宋体"/>
                <w:color w:val="000000"/>
                <w:sz w:val="20"/>
                <w:szCs w:val="20"/>
              </w:rPr>
            </w:pPr>
            <w:r>
              <w:rPr>
                <w:rFonts w:hint="eastAsia" w:ascii="宋体" w:hAnsi="宋体"/>
                <w:color w:val="000000"/>
                <w:sz w:val="20"/>
                <w:szCs w:val="20"/>
              </w:rPr>
              <w:t>2.知道说出医院饮食的类别及各类饮食的种类、原则与适用范围。</w:t>
            </w:r>
          </w:p>
          <w:p>
            <w:pPr>
              <w:snapToGrid w:val="0"/>
              <w:spacing w:line="288" w:lineRule="auto"/>
              <w:jc w:val="left"/>
              <w:rPr>
                <w:rFonts w:ascii="宋体" w:hAnsi="宋体"/>
                <w:color w:val="000000"/>
                <w:sz w:val="20"/>
                <w:szCs w:val="20"/>
              </w:rPr>
            </w:pPr>
            <w:r>
              <w:rPr>
                <w:rFonts w:hint="eastAsia" w:ascii="宋体" w:hAnsi="宋体"/>
                <w:color w:val="000000"/>
                <w:sz w:val="20"/>
                <w:szCs w:val="20"/>
              </w:rPr>
              <w:t>3.知道鼻饲术的适应证、禁忌证及注意</w:t>
            </w:r>
          </w:p>
          <w:p>
            <w:pPr>
              <w:snapToGrid w:val="0"/>
              <w:spacing w:line="288" w:lineRule="auto"/>
              <w:jc w:val="left"/>
              <w:rPr>
                <w:rFonts w:ascii="宋体" w:hAnsi="宋体"/>
                <w:color w:val="000000"/>
                <w:sz w:val="20"/>
                <w:szCs w:val="20"/>
              </w:rPr>
            </w:pPr>
            <w:r>
              <w:rPr>
                <w:rFonts w:hint="eastAsia" w:ascii="宋体" w:hAnsi="宋体"/>
                <w:color w:val="000000"/>
                <w:sz w:val="20"/>
                <w:szCs w:val="20"/>
              </w:rPr>
              <w:t>事项。</w:t>
            </w:r>
          </w:p>
          <w:p>
            <w:pPr>
              <w:snapToGrid w:val="0"/>
              <w:spacing w:line="288" w:lineRule="auto"/>
              <w:jc w:val="left"/>
              <w:rPr>
                <w:rFonts w:ascii="宋体" w:hAnsi="宋体"/>
                <w:color w:val="000000"/>
                <w:sz w:val="20"/>
                <w:szCs w:val="20"/>
              </w:rPr>
            </w:pPr>
            <w:r>
              <w:rPr>
                <w:rFonts w:hint="eastAsia" w:ascii="宋体" w:hAnsi="宋体"/>
                <w:color w:val="000000"/>
                <w:sz w:val="20"/>
                <w:szCs w:val="20"/>
              </w:rPr>
              <w:t>4.知道各种营养素的主要功能。</w:t>
            </w:r>
          </w:p>
          <w:p>
            <w:pPr>
              <w:snapToGrid w:val="0"/>
              <w:spacing w:line="288" w:lineRule="auto"/>
              <w:jc w:val="left"/>
              <w:rPr>
                <w:rFonts w:ascii="宋体" w:hAnsi="宋体"/>
                <w:color w:val="000000"/>
                <w:sz w:val="20"/>
                <w:szCs w:val="20"/>
              </w:rPr>
            </w:pPr>
            <w:r>
              <w:rPr>
                <w:rFonts w:hint="eastAsia" w:ascii="宋体" w:hAnsi="宋体"/>
                <w:color w:val="000000"/>
                <w:sz w:val="20"/>
                <w:szCs w:val="20"/>
              </w:rPr>
              <w:t>5.理解营养素、治疗饮食、试验饮食、鼻饲法、要素饮食、胃肠外营养的概念。</w:t>
            </w:r>
          </w:p>
          <w:p>
            <w:pPr>
              <w:snapToGrid w:val="0"/>
              <w:spacing w:line="288" w:lineRule="auto"/>
              <w:jc w:val="left"/>
              <w:rPr>
                <w:rFonts w:ascii="宋体" w:hAnsi="宋体"/>
                <w:color w:val="000000"/>
                <w:sz w:val="20"/>
                <w:szCs w:val="20"/>
              </w:rPr>
            </w:pPr>
            <w:r>
              <w:rPr>
                <w:rFonts w:hint="eastAsia" w:ascii="宋体" w:hAnsi="宋体"/>
                <w:color w:val="000000"/>
                <w:sz w:val="20"/>
                <w:szCs w:val="20"/>
              </w:rPr>
              <w:t>6.理解饮食、营养与健康的关系。</w:t>
            </w:r>
          </w:p>
          <w:p>
            <w:pPr>
              <w:snapToGrid w:val="0"/>
              <w:spacing w:line="288" w:lineRule="auto"/>
              <w:jc w:val="left"/>
              <w:rPr>
                <w:rFonts w:ascii="宋体" w:hAnsi="宋体"/>
                <w:color w:val="000000"/>
                <w:sz w:val="20"/>
                <w:szCs w:val="20"/>
              </w:rPr>
            </w:pPr>
            <w:r>
              <w:rPr>
                <w:rFonts w:hint="eastAsia" w:ascii="宋体" w:hAnsi="宋体"/>
                <w:color w:val="000000"/>
                <w:sz w:val="20"/>
                <w:szCs w:val="20"/>
              </w:rPr>
              <w:t>7.理解要素饮食的并发症及注意事项。</w:t>
            </w:r>
          </w:p>
          <w:p>
            <w:pPr>
              <w:snapToGrid w:val="0"/>
              <w:spacing w:line="288" w:lineRule="auto"/>
              <w:jc w:val="left"/>
              <w:rPr>
                <w:rFonts w:ascii="宋体" w:hAnsi="宋体"/>
                <w:color w:val="000000"/>
                <w:sz w:val="20"/>
                <w:szCs w:val="20"/>
              </w:rPr>
            </w:pPr>
            <w:r>
              <w:rPr>
                <w:rFonts w:hint="eastAsia" w:ascii="宋体" w:hAnsi="宋体"/>
                <w:color w:val="000000"/>
                <w:sz w:val="20"/>
                <w:szCs w:val="20"/>
              </w:rPr>
              <w:t>8.理解胃肠外营养的并发症及注意事项。</w:t>
            </w:r>
          </w:p>
        </w:tc>
        <w:tc>
          <w:tcPr>
            <w:tcW w:w="1674"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1.能运用所学方法进行病人营养状态的评估。</w:t>
            </w:r>
          </w:p>
          <w:p>
            <w:pPr>
              <w:snapToGrid w:val="0"/>
              <w:spacing w:line="288" w:lineRule="auto"/>
              <w:jc w:val="left"/>
              <w:rPr>
                <w:rFonts w:ascii="宋体" w:hAnsi="宋体"/>
                <w:color w:val="000000"/>
                <w:sz w:val="20"/>
                <w:szCs w:val="20"/>
              </w:rPr>
            </w:pPr>
            <w:r>
              <w:rPr>
                <w:rFonts w:hint="eastAsia" w:ascii="宋体" w:hAnsi="宋体"/>
                <w:color w:val="000000"/>
                <w:sz w:val="20"/>
                <w:szCs w:val="20"/>
              </w:rPr>
              <w:t>2.能规范地进行鼻饲法管喂饮食操作。</w:t>
            </w:r>
          </w:p>
          <w:p>
            <w:pPr>
              <w:snapToGrid w:val="0"/>
              <w:spacing w:line="288" w:lineRule="auto"/>
              <w:jc w:val="left"/>
              <w:rPr>
                <w:rFonts w:ascii="宋体" w:hAnsi="宋体"/>
                <w:color w:val="000000"/>
                <w:sz w:val="20"/>
                <w:szCs w:val="20"/>
              </w:rPr>
            </w:pPr>
            <w:r>
              <w:rPr>
                <w:rFonts w:hint="eastAsia" w:ascii="宋体" w:hAnsi="宋体"/>
                <w:color w:val="000000"/>
                <w:sz w:val="20"/>
                <w:szCs w:val="20"/>
              </w:rPr>
              <w:t>3.能正确运用三种方法检查胃管是否在胃内。</w:t>
            </w:r>
          </w:p>
          <w:p>
            <w:pPr>
              <w:snapToGrid w:val="0"/>
              <w:spacing w:line="288" w:lineRule="auto"/>
              <w:jc w:val="left"/>
              <w:rPr>
                <w:rFonts w:ascii="宋体" w:hAnsi="宋体"/>
                <w:color w:val="000000"/>
                <w:sz w:val="20"/>
                <w:szCs w:val="20"/>
              </w:rPr>
            </w:pPr>
            <w:r>
              <w:rPr>
                <w:rFonts w:hint="eastAsia" w:ascii="宋体" w:hAnsi="宋体"/>
                <w:color w:val="000000"/>
                <w:sz w:val="20"/>
                <w:szCs w:val="20"/>
              </w:rPr>
              <w:t>4.能正确运用一般饮食护理的措施对病人进行饮</w:t>
            </w:r>
          </w:p>
          <w:p>
            <w:pPr>
              <w:snapToGrid w:val="0"/>
              <w:spacing w:line="288" w:lineRule="auto"/>
              <w:jc w:val="left"/>
              <w:rPr>
                <w:rFonts w:ascii="宋体" w:hAnsi="宋体"/>
                <w:color w:val="000000"/>
                <w:sz w:val="20"/>
                <w:szCs w:val="20"/>
              </w:rPr>
            </w:pPr>
            <w:r>
              <w:rPr>
                <w:rFonts w:hint="eastAsia" w:ascii="宋体" w:hAnsi="宋体"/>
                <w:color w:val="000000"/>
                <w:sz w:val="20"/>
                <w:szCs w:val="20"/>
              </w:rPr>
              <w:t>食护理。</w:t>
            </w:r>
          </w:p>
        </w:tc>
        <w:tc>
          <w:tcPr>
            <w:tcW w:w="1312"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1.具有严谨求实的工作作风和对病人高度负责的工作态度。</w:t>
            </w:r>
          </w:p>
          <w:p>
            <w:pPr>
              <w:snapToGrid w:val="0"/>
              <w:spacing w:line="288" w:lineRule="auto"/>
              <w:jc w:val="left"/>
              <w:rPr>
                <w:rFonts w:ascii="宋体" w:hAnsi="宋体"/>
                <w:color w:val="000000"/>
                <w:sz w:val="20"/>
                <w:szCs w:val="20"/>
              </w:rPr>
            </w:pPr>
            <w:r>
              <w:rPr>
                <w:rFonts w:hint="eastAsia" w:ascii="宋体" w:hAnsi="宋体"/>
                <w:color w:val="000000"/>
                <w:sz w:val="20"/>
                <w:szCs w:val="20"/>
              </w:rPr>
              <w:t>2.尊重、关心和体谅病人。</w:t>
            </w:r>
          </w:p>
          <w:p>
            <w:pPr>
              <w:snapToGrid w:val="0"/>
              <w:spacing w:line="288" w:lineRule="auto"/>
              <w:jc w:val="left"/>
              <w:rPr>
                <w:rFonts w:ascii="宋体" w:hAnsi="宋体"/>
                <w:color w:val="000000"/>
                <w:sz w:val="20"/>
                <w:szCs w:val="20"/>
              </w:rPr>
            </w:pPr>
          </w:p>
        </w:tc>
        <w:tc>
          <w:tcPr>
            <w:tcW w:w="1312"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1.医院饮食的类别及各类饮食的种类、原则与适用范围</w:t>
            </w:r>
          </w:p>
          <w:p>
            <w:pPr>
              <w:snapToGrid w:val="0"/>
              <w:spacing w:line="288" w:lineRule="auto"/>
              <w:jc w:val="left"/>
              <w:rPr>
                <w:rFonts w:ascii="宋体" w:hAnsi="宋体"/>
                <w:color w:val="000000"/>
                <w:sz w:val="20"/>
                <w:szCs w:val="20"/>
              </w:rPr>
            </w:pPr>
            <w:r>
              <w:rPr>
                <w:rFonts w:hint="eastAsia" w:ascii="宋体" w:hAnsi="宋体"/>
                <w:color w:val="000000"/>
                <w:sz w:val="20"/>
                <w:szCs w:val="20"/>
              </w:rPr>
              <w:t>2.鼻饲法管喂饮食操作</w:t>
            </w:r>
          </w:p>
        </w:tc>
        <w:tc>
          <w:tcPr>
            <w:tcW w:w="344"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2</w:t>
            </w:r>
          </w:p>
        </w:tc>
        <w:tc>
          <w:tcPr>
            <w:tcW w:w="440"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4</w:t>
            </w:r>
          </w:p>
        </w:tc>
        <w:tc>
          <w:tcPr>
            <w:tcW w:w="418"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41" w:type="dxa"/>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3</w:t>
            </w:r>
          </w:p>
        </w:tc>
        <w:tc>
          <w:tcPr>
            <w:tcW w:w="690" w:type="dxa"/>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排泄护理</w:t>
            </w:r>
          </w:p>
        </w:tc>
        <w:tc>
          <w:tcPr>
            <w:tcW w:w="1988"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1.知道与排便、排尿有关的解剖和生理。</w:t>
            </w:r>
          </w:p>
          <w:p>
            <w:pPr>
              <w:snapToGrid w:val="0"/>
              <w:spacing w:line="288" w:lineRule="auto"/>
              <w:jc w:val="left"/>
              <w:rPr>
                <w:rFonts w:ascii="宋体" w:hAnsi="宋体"/>
                <w:color w:val="000000"/>
                <w:sz w:val="20"/>
                <w:szCs w:val="20"/>
              </w:rPr>
            </w:pPr>
            <w:r>
              <w:rPr>
                <w:rFonts w:hint="eastAsia" w:ascii="宋体" w:hAnsi="宋体"/>
                <w:color w:val="000000"/>
                <w:sz w:val="20"/>
                <w:szCs w:val="20"/>
              </w:rPr>
              <w:t>2.知道尿液、粪便观察的主要内容。</w:t>
            </w:r>
          </w:p>
          <w:p>
            <w:pPr>
              <w:snapToGrid w:val="0"/>
              <w:spacing w:line="288" w:lineRule="auto"/>
              <w:jc w:val="left"/>
              <w:rPr>
                <w:rFonts w:ascii="宋体" w:hAnsi="宋体"/>
                <w:color w:val="000000"/>
                <w:sz w:val="20"/>
                <w:szCs w:val="20"/>
              </w:rPr>
            </w:pPr>
            <w:r>
              <w:rPr>
                <w:rFonts w:hint="eastAsia" w:ascii="宋体" w:hAnsi="宋体"/>
                <w:color w:val="000000"/>
                <w:sz w:val="20"/>
                <w:szCs w:val="20"/>
              </w:rPr>
              <w:t>3.理解多尿、少尿、无尿、膀胱刺激征、尿潴留、尿失禁、导尿术、便秘、腹泻、排便失禁、灌肠法及肛管排气的概念。</w:t>
            </w:r>
          </w:p>
          <w:p>
            <w:pPr>
              <w:snapToGrid w:val="0"/>
              <w:spacing w:line="288" w:lineRule="auto"/>
              <w:jc w:val="left"/>
              <w:rPr>
                <w:rFonts w:ascii="宋体" w:hAnsi="宋体"/>
                <w:color w:val="000000"/>
                <w:sz w:val="20"/>
                <w:szCs w:val="20"/>
              </w:rPr>
            </w:pPr>
            <w:r>
              <w:rPr>
                <w:rFonts w:hint="eastAsia" w:ascii="宋体" w:hAnsi="宋体"/>
                <w:color w:val="000000"/>
                <w:sz w:val="20"/>
                <w:szCs w:val="20"/>
              </w:rPr>
              <w:t>4.理解影响排便、排尿的因素。</w:t>
            </w:r>
          </w:p>
          <w:p>
            <w:pPr>
              <w:snapToGrid w:val="0"/>
              <w:spacing w:line="288" w:lineRule="auto"/>
              <w:jc w:val="left"/>
              <w:rPr>
                <w:rFonts w:ascii="宋体" w:hAnsi="宋体"/>
                <w:color w:val="000000"/>
                <w:sz w:val="20"/>
                <w:szCs w:val="20"/>
              </w:rPr>
            </w:pPr>
            <w:r>
              <w:rPr>
                <w:rFonts w:hint="eastAsia" w:ascii="宋体" w:hAnsi="宋体"/>
                <w:color w:val="000000"/>
                <w:sz w:val="20"/>
                <w:szCs w:val="20"/>
              </w:rPr>
              <w:t>5.理解导致排尿、排便异常的原因。</w:t>
            </w:r>
          </w:p>
          <w:p>
            <w:pPr>
              <w:snapToGrid w:val="0"/>
              <w:spacing w:line="288" w:lineRule="auto"/>
              <w:jc w:val="left"/>
              <w:rPr>
                <w:rFonts w:ascii="宋体" w:hAnsi="宋体"/>
                <w:color w:val="000000"/>
                <w:sz w:val="20"/>
                <w:szCs w:val="20"/>
              </w:rPr>
            </w:pPr>
            <w:r>
              <w:rPr>
                <w:rFonts w:hint="eastAsia" w:ascii="宋体" w:hAnsi="宋体"/>
                <w:color w:val="000000"/>
                <w:sz w:val="20"/>
                <w:szCs w:val="20"/>
              </w:rPr>
              <w:t>6.理解留置导尿术病人的护理要点。</w:t>
            </w:r>
          </w:p>
        </w:tc>
        <w:tc>
          <w:tcPr>
            <w:tcW w:w="1674"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1.能规范完成导尿术、留置导尿术、大量不保留</w:t>
            </w:r>
          </w:p>
          <w:p>
            <w:pPr>
              <w:snapToGrid w:val="0"/>
              <w:spacing w:line="288" w:lineRule="auto"/>
              <w:jc w:val="left"/>
              <w:rPr>
                <w:rFonts w:ascii="宋体" w:hAnsi="宋体"/>
                <w:color w:val="000000"/>
                <w:sz w:val="20"/>
                <w:szCs w:val="20"/>
              </w:rPr>
            </w:pPr>
            <w:r>
              <w:rPr>
                <w:rFonts w:hint="eastAsia" w:ascii="宋体" w:hAnsi="宋体"/>
                <w:color w:val="000000"/>
                <w:sz w:val="20"/>
                <w:szCs w:val="20"/>
              </w:rPr>
              <w:t>灌肠和保留灌肠的操作技术。</w:t>
            </w:r>
          </w:p>
          <w:p>
            <w:pPr>
              <w:snapToGrid w:val="0"/>
              <w:spacing w:line="288" w:lineRule="auto"/>
              <w:jc w:val="left"/>
              <w:rPr>
                <w:rFonts w:ascii="宋体" w:hAnsi="宋体"/>
                <w:color w:val="000000"/>
                <w:sz w:val="20"/>
                <w:szCs w:val="20"/>
              </w:rPr>
            </w:pPr>
            <w:r>
              <w:rPr>
                <w:rFonts w:hint="eastAsia" w:ascii="宋体" w:hAnsi="宋体"/>
                <w:color w:val="000000"/>
                <w:sz w:val="20"/>
                <w:szCs w:val="20"/>
              </w:rPr>
              <w:t>2.能选择恰当的护理措施对排尿异常及排便异常</w:t>
            </w:r>
          </w:p>
          <w:p>
            <w:pPr>
              <w:snapToGrid w:val="0"/>
              <w:spacing w:line="288" w:lineRule="auto"/>
              <w:jc w:val="left"/>
              <w:rPr>
                <w:rFonts w:ascii="宋体" w:hAnsi="宋体"/>
                <w:color w:val="000000"/>
                <w:sz w:val="20"/>
                <w:szCs w:val="20"/>
              </w:rPr>
            </w:pPr>
            <w:r>
              <w:rPr>
                <w:rFonts w:hint="eastAsia" w:ascii="宋体" w:hAnsi="宋体"/>
                <w:color w:val="000000"/>
                <w:sz w:val="20"/>
                <w:szCs w:val="20"/>
              </w:rPr>
              <w:t>病人进行护理。</w:t>
            </w:r>
          </w:p>
          <w:p>
            <w:pPr>
              <w:snapToGrid w:val="0"/>
              <w:spacing w:line="288" w:lineRule="auto"/>
              <w:jc w:val="left"/>
              <w:rPr>
                <w:rFonts w:ascii="宋体" w:hAnsi="宋体"/>
                <w:color w:val="000000"/>
                <w:sz w:val="20"/>
                <w:szCs w:val="20"/>
              </w:rPr>
            </w:pPr>
            <w:r>
              <w:rPr>
                <w:rFonts w:hint="eastAsia" w:ascii="宋体" w:hAnsi="宋体"/>
                <w:color w:val="000000"/>
                <w:sz w:val="20"/>
                <w:szCs w:val="20"/>
              </w:rPr>
              <w:t>3.能用所学知识对留置导尿术、保留灌肠病人进</w:t>
            </w:r>
          </w:p>
          <w:p>
            <w:pPr>
              <w:snapToGrid w:val="0"/>
              <w:spacing w:line="288" w:lineRule="auto"/>
              <w:jc w:val="left"/>
              <w:rPr>
                <w:rFonts w:ascii="宋体" w:hAnsi="宋体"/>
                <w:color w:val="000000"/>
                <w:sz w:val="20"/>
                <w:szCs w:val="20"/>
              </w:rPr>
            </w:pPr>
            <w:r>
              <w:rPr>
                <w:rFonts w:hint="eastAsia" w:ascii="宋体" w:hAnsi="宋体"/>
                <w:color w:val="000000"/>
                <w:sz w:val="20"/>
                <w:szCs w:val="20"/>
              </w:rPr>
              <w:t>行健康教育。</w:t>
            </w:r>
          </w:p>
          <w:p>
            <w:pPr>
              <w:snapToGrid w:val="0"/>
              <w:spacing w:line="288" w:lineRule="auto"/>
              <w:jc w:val="left"/>
              <w:rPr>
                <w:rFonts w:ascii="宋体" w:hAnsi="宋体"/>
                <w:color w:val="000000"/>
                <w:sz w:val="20"/>
                <w:szCs w:val="20"/>
              </w:rPr>
            </w:pPr>
            <w:r>
              <w:rPr>
                <w:rFonts w:hint="eastAsia" w:ascii="宋体" w:hAnsi="宋体"/>
                <w:color w:val="000000"/>
                <w:sz w:val="20"/>
                <w:szCs w:val="20"/>
              </w:rPr>
              <w:t>4.能用所学知识对排尿异常和排便异常病人进行</w:t>
            </w:r>
          </w:p>
          <w:p>
            <w:pPr>
              <w:snapToGrid w:val="0"/>
              <w:spacing w:line="288" w:lineRule="auto"/>
              <w:jc w:val="left"/>
              <w:rPr>
                <w:rFonts w:ascii="宋体" w:hAnsi="宋体"/>
                <w:color w:val="000000"/>
                <w:sz w:val="20"/>
                <w:szCs w:val="20"/>
              </w:rPr>
            </w:pPr>
            <w:r>
              <w:rPr>
                <w:rFonts w:hint="eastAsia" w:ascii="宋体" w:hAnsi="宋体"/>
                <w:color w:val="000000"/>
                <w:sz w:val="20"/>
                <w:szCs w:val="20"/>
              </w:rPr>
              <w:t>健康教育。</w:t>
            </w:r>
          </w:p>
        </w:tc>
        <w:tc>
          <w:tcPr>
            <w:tcW w:w="1312"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1.具有严谨求实的工作作风和对病人高度负责的工作态度。</w:t>
            </w:r>
          </w:p>
          <w:p>
            <w:pPr>
              <w:snapToGrid w:val="0"/>
              <w:spacing w:line="288" w:lineRule="auto"/>
              <w:jc w:val="left"/>
              <w:rPr>
                <w:rFonts w:ascii="宋体" w:hAnsi="宋体"/>
                <w:color w:val="000000"/>
                <w:sz w:val="20"/>
                <w:szCs w:val="20"/>
              </w:rPr>
            </w:pPr>
            <w:r>
              <w:rPr>
                <w:rFonts w:hint="eastAsia" w:ascii="宋体" w:hAnsi="宋体"/>
                <w:color w:val="000000"/>
                <w:sz w:val="20"/>
                <w:szCs w:val="20"/>
              </w:rPr>
              <w:t>2.尊重、关心和体谅病人。</w:t>
            </w:r>
          </w:p>
          <w:p>
            <w:pPr>
              <w:snapToGrid w:val="0"/>
              <w:spacing w:line="288" w:lineRule="auto"/>
              <w:jc w:val="left"/>
              <w:rPr>
                <w:rFonts w:ascii="宋体" w:hAnsi="宋体"/>
                <w:color w:val="000000"/>
                <w:sz w:val="20"/>
                <w:szCs w:val="20"/>
              </w:rPr>
            </w:pPr>
          </w:p>
        </w:tc>
        <w:tc>
          <w:tcPr>
            <w:tcW w:w="1312"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1.留置导尿术病人的护理要点</w:t>
            </w:r>
          </w:p>
          <w:p>
            <w:pPr>
              <w:snapToGrid w:val="0"/>
              <w:spacing w:line="288" w:lineRule="auto"/>
              <w:jc w:val="left"/>
              <w:rPr>
                <w:rFonts w:ascii="宋体" w:hAnsi="宋体"/>
                <w:color w:val="000000"/>
                <w:sz w:val="20"/>
                <w:szCs w:val="20"/>
              </w:rPr>
            </w:pPr>
            <w:r>
              <w:rPr>
                <w:rFonts w:hint="eastAsia" w:ascii="宋体" w:hAnsi="宋体"/>
                <w:color w:val="000000"/>
                <w:sz w:val="20"/>
                <w:szCs w:val="20"/>
              </w:rPr>
              <w:t>2.导尿术、留置导尿术、大量不保留灌肠和保留灌肠的操作技术</w:t>
            </w:r>
          </w:p>
        </w:tc>
        <w:tc>
          <w:tcPr>
            <w:tcW w:w="344"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2</w:t>
            </w:r>
          </w:p>
        </w:tc>
        <w:tc>
          <w:tcPr>
            <w:tcW w:w="440"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12</w:t>
            </w:r>
          </w:p>
        </w:tc>
        <w:tc>
          <w:tcPr>
            <w:tcW w:w="418"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41" w:type="dxa"/>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4</w:t>
            </w:r>
          </w:p>
        </w:tc>
        <w:tc>
          <w:tcPr>
            <w:tcW w:w="690" w:type="dxa"/>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给药护理</w:t>
            </w:r>
          </w:p>
        </w:tc>
        <w:tc>
          <w:tcPr>
            <w:tcW w:w="1988"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1.知道常用药物的种类和常用给药医嘱的外文缩写词。</w:t>
            </w:r>
          </w:p>
          <w:p>
            <w:pPr>
              <w:snapToGrid w:val="0"/>
              <w:spacing w:line="288" w:lineRule="auto"/>
              <w:jc w:val="left"/>
              <w:rPr>
                <w:rFonts w:ascii="宋体" w:hAnsi="宋体"/>
                <w:color w:val="000000"/>
                <w:sz w:val="20"/>
                <w:szCs w:val="20"/>
              </w:rPr>
            </w:pPr>
            <w:r>
              <w:rPr>
                <w:rFonts w:hint="eastAsia" w:ascii="宋体" w:hAnsi="宋体"/>
                <w:color w:val="000000"/>
                <w:sz w:val="20"/>
                <w:szCs w:val="20"/>
              </w:rPr>
              <w:t>2.知道给药途径和给药原则。</w:t>
            </w:r>
          </w:p>
          <w:p>
            <w:pPr>
              <w:snapToGrid w:val="0"/>
              <w:spacing w:line="288" w:lineRule="auto"/>
              <w:jc w:val="left"/>
              <w:rPr>
                <w:rFonts w:ascii="宋体" w:hAnsi="宋体"/>
                <w:color w:val="000000"/>
                <w:sz w:val="20"/>
                <w:szCs w:val="20"/>
              </w:rPr>
            </w:pPr>
            <w:r>
              <w:rPr>
                <w:rFonts w:hint="eastAsia" w:ascii="宋体" w:hAnsi="宋体"/>
                <w:color w:val="000000"/>
                <w:sz w:val="20"/>
                <w:szCs w:val="20"/>
              </w:rPr>
              <w:t>3.知道注射原则。</w:t>
            </w:r>
          </w:p>
          <w:p>
            <w:pPr>
              <w:snapToGrid w:val="0"/>
              <w:spacing w:line="288" w:lineRule="auto"/>
              <w:jc w:val="left"/>
              <w:rPr>
                <w:rFonts w:ascii="宋体" w:hAnsi="宋体"/>
                <w:color w:val="000000"/>
                <w:sz w:val="20"/>
                <w:szCs w:val="20"/>
              </w:rPr>
            </w:pPr>
            <w:r>
              <w:rPr>
                <w:rFonts w:hint="eastAsia" w:ascii="宋体" w:hAnsi="宋体"/>
                <w:color w:val="000000"/>
                <w:sz w:val="20"/>
                <w:szCs w:val="20"/>
              </w:rPr>
              <w:t>4.知道各种注射方法的目的、常用部位及注意事项。</w:t>
            </w:r>
          </w:p>
          <w:p>
            <w:pPr>
              <w:snapToGrid w:val="0"/>
              <w:spacing w:line="288" w:lineRule="auto"/>
              <w:jc w:val="left"/>
              <w:rPr>
                <w:rFonts w:ascii="宋体" w:hAnsi="宋体"/>
                <w:color w:val="000000"/>
                <w:sz w:val="20"/>
                <w:szCs w:val="20"/>
              </w:rPr>
            </w:pPr>
            <w:r>
              <w:rPr>
                <w:rFonts w:hint="eastAsia" w:ascii="宋体" w:hAnsi="宋体"/>
                <w:color w:val="000000"/>
                <w:sz w:val="20"/>
                <w:szCs w:val="20"/>
              </w:rPr>
              <w:t>5.知道常用过敏试验液的配制浓度、注入剂量和试验结果判断。</w:t>
            </w:r>
          </w:p>
          <w:p>
            <w:pPr>
              <w:snapToGrid w:val="0"/>
              <w:spacing w:line="288" w:lineRule="auto"/>
              <w:jc w:val="left"/>
              <w:rPr>
                <w:rFonts w:ascii="宋体" w:hAnsi="宋体"/>
                <w:color w:val="000000"/>
                <w:sz w:val="20"/>
                <w:szCs w:val="20"/>
              </w:rPr>
            </w:pPr>
            <w:r>
              <w:rPr>
                <w:rFonts w:hint="eastAsia" w:ascii="宋体" w:hAnsi="宋体"/>
                <w:color w:val="000000"/>
                <w:sz w:val="20"/>
                <w:szCs w:val="20"/>
              </w:rPr>
              <w:t>6.知道青霉素过敏反应的原因和预防措施。</w:t>
            </w:r>
          </w:p>
          <w:p>
            <w:pPr>
              <w:snapToGrid w:val="0"/>
              <w:spacing w:line="288" w:lineRule="auto"/>
              <w:jc w:val="left"/>
              <w:rPr>
                <w:rFonts w:ascii="宋体" w:hAnsi="宋体"/>
                <w:color w:val="000000"/>
                <w:sz w:val="20"/>
                <w:szCs w:val="20"/>
              </w:rPr>
            </w:pPr>
            <w:r>
              <w:rPr>
                <w:rFonts w:hint="eastAsia" w:ascii="宋体" w:hAnsi="宋体"/>
                <w:color w:val="000000"/>
                <w:sz w:val="20"/>
                <w:szCs w:val="20"/>
              </w:rPr>
              <w:t>7.知道破伤风抗毒素脱敏注射的原理和方法。</w:t>
            </w:r>
          </w:p>
          <w:p>
            <w:pPr>
              <w:snapToGrid w:val="0"/>
              <w:spacing w:line="288" w:lineRule="auto"/>
              <w:jc w:val="left"/>
              <w:rPr>
                <w:rFonts w:ascii="宋体" w:hAnsi="宋体"/>
                <w:color w:val="000000"/>
                <w:sz w:val="20"/>
                <w:szCs w:val="20"/>
              </w:rPr>
            </w:pPr>
            <w:r>
              <w:rPr>
                <w:rFonts w:hint="eastAsia" w:ascii="宋体" w:hAnsi="宋体"/>
                <w:color w:val="000000"/>
                <w:sz w:val="20"/>
                <w:szCs w:val="20"/>
              </w:rPr>
              <w:t>8.理解口服给药法、注射法、皮内注射法、皮下注射法、肌内注射法、静脉注射、雾化吸入法、超声雾化吸入法、氧</w:t>
            </w:r>
          </w:p>
          <w:p>
            <w:pPr>
              <w:snapToGrid w:val="0"/>
              <w:spacing w:line="288" w:lineRule="auto"/>
              <w:jc w:val="left"/>
              <w:rPr>
                <w:rFonts w:ascii="宋体" w:hAnsi="宋体"/>
                <w:color w:val="000000"/>
                <w:sz w:val="20"/>
                <w:szCs w:val="20"/>
              </w:rPr>
            </w:pPr>
            <w:r>
              <w:rPr>
                <w:rFonts w:hint="eastAsia" w:ascii="宋体" w:hAnsi="宋体"/>
                <w:color w:val="000000"/>
                <w:sz w:val="20"/>
                <w:szCs w:val="20"/>
              </w:rPr>
              <w:t>气雾化吸入法、过敏反应及破伤风抗毒素脱敏注射法的概念。</w:t>
            </w:r>
          </w:p>
          <w:p>
            <w:pPr>
              <w:snapToGrid w:val="0"/>
              <w:spacing w:line="288" w:lineRule="auto"/>
              <w:jc w:val="left"/>
              <w:rPr>
                <w:rFonts w:ascii="宋体" w:hAnsi="宋体"/>
                <w:color w:val="000000"/>
                <w:sz w:val="20"/>
                <w:szCs w:val="20"/>
              </w:rPr>
            </w:pPr>
            <w:r>
              <w:rPr>
                <w:rFonts w:hint="eastAsia" w:ascii="宋体" w:hAnsi="宋体"/>
                <w:color w:val="000000"/>
                <w:sz w:val="20"/>
                <w:szCs w:val="20"/>
              </w:rPr>
              <w:t>9.理解药物保管的要求。</w:t>
            </w:r>
          </w:p>
          <w:p>
            <w:pPr>
              <w:snapToGrid w:val="0"/>
              <w:spacing w:line="288" w:lineRule="auto"/>
              <w:jc w:val="left"/>
              <w:rPr>
                <w:rFonts w:ascii="宋体" w:hAnsi="宋体"/>
                <w:color w:val="000000"/>
                <w:sz w:val="20"/>
                <w:szCs w:val="20"/>
              </w:rPr>
            </w:pPr>
            <w:r>
              <w:rPr>
                <w:rFonts w:hint="eastAsia" w:ascii="宋体" w:hAnsi="宋体"/>
                <w:color w:val="000000"/>
                <w:sz w:val="20"/>
                <w:szCs w:val="20"/>
              </w:rPr>
              <w:t>10.理解影响药物作用的因素。</w:t>
            </w:r>
          </w:p>
          <w:p>
            <w:pPr>
              <w:snapToGrid w:val="0"/>
              <w:spacing w:line="288" w:lineRule="auto"/>
              <w:jc w:val="left"/>
              <w:rPr>
                <w:rFonts w:ascii="宋体" w:hAnsi="宋体"/>
                <w:color w:val="000000"/>
                <w:sz w:val="20"/>
                <w:szCs w:val="20"/>
              </w:rPr>
            </w:pPr>
            <w:r>
              <w:rPr>
                <w:rFonts w:hint="eastAsia" w:ascii="宋体" w:hAnsi="宋体"/>
                <w:color w:val="000000"/>
                <w:sz w:val="20"/>
                <w:szCs w:val="20"/>
              </w:rPr>
              <w:t>11.理解不同性能药物口服时的注意事项。</w:t>
            </w:r>
          </w:p>
          <w:p>
            <w:pPr>
              <w:snapToGrid w:val="0"/>
              <w:spacing w:line="288" w:lineRule="auto"/>
              <w:jc w:val="left"/>
              <w:rPr>
                <w:rFonts w:ascii="宋体" w:hAnsi="宋体"/>
                <w:color w:val="000000"/>
                <w:sz w:val="20"/>
                <w:szCs w:val="20"/>
              </w:rPr>
            </w:pPr>
            <w:r>
              <w:rPr>
                <w:rFonts w:hint="eastAsia" w:ascii="宋体" w:hAnsi="宋体"/>
                <w:color w:val="000000"/>
                <w:sz w:val="20"/>
                <w:szCs w:val="20"/>
              </w:rPr>
              <w:t>12.理解静脉注射失败的原因。</w:t>
            </w:r>
          </w:p>
          <w:p>
            <w:pPr>
              <w:snapToGrid w:val="0"/>
              <w:spacing w:line="288" w:lineRule="auto"/>
              <w:jc w:val="left"/>
              <w:rPr>
                <w:rFonts w:ascii="宋体" w:hAnsi="宋体"/>
                <w:color w:val="000000"/>
                <w:sz w:val="20"/>
                <w:szCs w:val="20"/>
              </w:rPr>
            </w:pPr>
            <w:r>
              <w:rPr>
                <w:rFonts w:hint="eastAsia" w:ascii="宋体" w:hAnsi="宋体"/>
                <w:color w:val="000000"/>
                <w:sz w:val="20"/>
                <w:szCs w:val="20"/>
              </w:rPr>
              <w:t>13.理解青霉素过敏性休克的临床表现。</w:t>
            </w:r>
          </w:p>
        </w:tc>
        <w:tc>
          <w:tcPr>
            <w:tcW w:w="1674"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1.能正确完成发药操作。做到态度认真负责、严</w:t>
            </w:r>
          </w:p>
          <w:p>
            <w:pPr>
              <w:snapToGrid w:val="0"/>
              <w:spacing w:line="288" w:lineRule="auto"/>
              <w:jc w:val="left"/>
              <w:rPr>
                <w:rFonts w:ascii="宋体" w:hAnsi="宋体"/>
                <w:color w:val="000000"/>
                <w:sz w:val="20"/>
                <w:szCs w:val="20"/>
              </w:rPr>
            </w:pPr>
            <w:r>
              <w:rPr>
                <w:rFonts w:hint="eastAsia" w:ascii="宋体" w:hAnsi="宋体"/>
                <w:color w:val="000000"/>
                <w:sz w:val="20"/>
                <w:szCs w:val="20"/>
              </w:rPr>
              <w:t>格查对、方法正确、解释合理、过程完整、无</w:t>
            </w:r>
          </w:p>
          <w:p>
            <w:pPr>
              <w:snapToGrid w:val="0"/>
              <w:spacing w:line="288" w:lineRule="auto"/>
              <w:jc w:val="left"/>
              <w:rPr>
                <w:rFonts w:ascii="宋体" w:hAnsi="宋体"/>
                <w:color w:val="000000"/>
                <w:sz w:val="20"/>
                <w:szCs w:val="20"/>
              </w:rPr>
            </w:pPr>
            <w:r>
              <w:rPr>
                <w:rFonts w:hint="eastAsia" w:ascii="宋体" w:hAnsi="宋体"/>
                <w:color w:val="000000"/>
                <w:sz w:val="20"/>
                <w:szCs w:val="20"/>
              </w:rPr>
              <w:t>差错发生。</w:t>
            </w:r>
          </w:p>
          <w:p>
            <w:pPr>
              <w:snapToGrid w:val="0"/>
              <w:spacing w:line="288" w:lineRule="auto"/>
              <w:jc w:val="left"/>
              <w:rPr>
                <w:rFonts w:ascii="宋体" w:hAnsi="宋体"/>
                <w:color w:val="000000"/>
                <w:sz w:val="20"/>
                <w:szCs w:val="20"/>
              </w:rPr>
            </w:pPr>
            <w:r>
              <w:rPr>
                <w:rFonts w:hint="eastAsia" w:ascii="宋体" w:hAnsi="宋体"/>
                <w:color w:val="000000"/>
                <w:sz w:val="20"/>
                <w:szCs w:val="20"/>
              </w:rPr>
              <w:t>2.能以正确的方法进行各种药物抽吸的操作。</w:t>
            </w:r>
          </w:p>
          <w:p>
            <w:pPr>
              <w:snapToGrid w:val="0"/>
              <w:spacing w:line="288" w:lineRule="auto"/>
              <w:jc w:val="left"/>
              <w:rPr>
                <w:rFonts w:ascii="宋体" w:hAnsi="宋体"/>
                <w:color w:val="000000"/>
                <w:sz w:val="20"/>
                <w:szCs w:val="20"/>
              </w:rPr>
            </w:pPr>
            <w:r>
              <w:rPr>
                <w:rFonts w:hint="eastAsia" w:ascii="宋体" w:hAnsi="宋体"/>
                <w:color w:val="000000"/>
                <w:sz w:val="20"/>
                <w:szCs w:val="20"/>
              </w:rPr>
              <w:t>3.能以正确的方法完成各种注射法的操作。</w:t>
            </w:r>
          </w:p>
          <w:p>
            <w:pPr>
              <w:snapToGrid w:val="0"/>
              <w:spacing w:line="288" w:lineRule="auto"/>
              <w:jc w:val="left"/>
              <w:rPr>
                <w:rFonts w:ascii="宋体" w:hAnsi="宋体"/>
                <w:color w:val="000000"/>
                <w:sz w:val="20"/>
                <w:szCs w:val="20"/>
              </w:rPr>
            </w:pPr>
            <w:r>
              <w:rPr>
                <w:rFonts w:hint="eastAsia" w:ascii="宋体" w:hAnsi="宋体"/>
                <w:color w:val="000000"/>
                <w:sz w:val="20"/>
                <w:szCs w:val="20"/>
              </w:rPr>
              <w:t>4.能正确进行超声雾化吸入法、氧气雾化吸入法</w:t>
            </w:r>
          </w:p>
          <w:p>
            <w:pPr>
              <w:snapToGrid w:val="0"/>
              <w:spacing w:line="288" w:lineRule="auto"/>
              <w:jc w:val="left"/>
              <w:rPr>
                <w:rFonts w:ascii="宋体" w:hAnsi="宋体"/>
                <w:color w:val="000000"/>
                <w:sz w:val="20"/>
                <w:szCs w:val="20"/>
              </w:rPr>
            </w:pPr>
            <w:r>
              <w:rPr>
                <w:rFonts w:hint="eastAsia" w:ascii="宋体" w:hAnsi="宋体"/>
                <w:color w:val="000000"/>
                <w:sz w:val="20"/>
                <w:szCs w:val="20"/>
              </w:rPr>
              <w:t>的操作。</w:t>
            </w:r>
          </w:p>
        </w:tc>
        <w:tc>
          <w:tcPr>
            <w:tcW w:w="1312"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1.具有严谨求实的工作作风和对病人高度负责的工作态度。</w:t>
            </w:r>
          </w:p>
          <w:p>
            <w:pPr>
              <w:snapToGrid w:val="0"/>
              <w:spacing w:line="288" w:lineRule="auto"/>
              <w:jc w:val="left"/>
              <w:rPr>
                <w:rFonts w:ascii="宋体" w:hAnsi="宋体"/>
                <w:color w:val="000000"/>
                <w:sz w:val="20"/>
                <w:szCs w:val="20"/>
              </w:rPr>
            </w:pPr>
            <w:r>
              <w:rPr>
                <w:rFonts w:hint="eastAsia" w:ascii="宋体" w:hAnsi="宋体"/>
                <w:color w:val="000000"/>
                <w:sz w:val="20"/>
                <w:szCs w:val="20"/>
              </w:rPr>
              <w:t>2.尊重、关心和体谅病人。</w:t>
            </w:r>
          </w:p>
          <w:p>
            <w:pPr>
              <w:snapToGrid w:val="0"/>
              <w:spacing w:line="288" w:lineRule="auto"/>
              <w:jc w:val="left"/>
              <w:rPr>
                <w:rFonts w:ascii="宋体" w:hAnsi="宋体"/>
                <w:color w:val="000000"/>
                <w:sz w:val="20"/>
                <w:szCs w:val="20"/>
              </w:rPr>
            </w:pPr>
          </w:p>
        </w:tc>
        <w:tc>
          <w:tcPr>
            <w:tcW w:w="1312"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1.静脉注射失败的原因</w:t>
            </w:r>
          </w:p>
          <w:p>
            <w:pPr>
              <w:snapToGrid w:val="0"/>
              <w:spacing w:line="288" w:lineRule="auto"/>
              <w:jc w:val="left"/>
              <w:rPr>
                <w:rFonts w:ascii="宋体" w:hAnsi="宋体"/>
                <w:color w:val="000000"/>
                <w:sz w:val="20"/>
                <w:szCs w:val="20"/>
              </w:rPr>
            </w:pPr>
            <w:r>
              <w:rPr>
                <w:rFonts w:hint="eastAsia" w:ascii="宋体" w:hAnsi="宋体"/>
                <w:color w:val="000000"/>
                <w:sz w:val="20"/>
                <w:szCs w:val="20"/>
              </w:rPr>
              <w:t>2.各种注射法的操作</w:t>
            </w:r>
          </w:p>
          <w:p>
            <w:pPr>
              <w:snapToGrid w:val="0"/>
              <w:spacing w:line="288" w:lineRule="auto"/>
              <w:jc w:val="left"/>
              <w:rPr>
                <w:rFonts w:ascii="宋体" w:hAnsi="宋体"/>
                <w:color w:val="000000"/>
                <w:sz w:val="20"/>
                <w:szCs w:val="20"/>
              </w:rPr>
            </w:pPr>
            <w:r>
              <w:rPr>
                <w:rFonts w:hint="eastAsia" w:ascii="宋体" w:hAnsi="宋体"/>
                <w:color w:val="000000"/>
                <w:sz w:val="20"/>
                <w:szCs w:val="20"/>
              </w:rPr>
              <w:t>3.常用过敏试验液的配制浓度、注入剂量和试验结果判断</w:t>
            </w:r>
          </w:p>
        </w:tc>
        <w:tc>
          <w:tcPr>
            <w:tcW w:w="344"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4</w:t>
            </w:r>
          </w:p>
        </w:tc>
        <w:tc>
          <w:tcPr>
            <w:tcW w:w="440"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10</w:t>
            </w:r>
          </w:p>
        </w:tc>
        <w:tc>
          <w:tcPr>
            <w:tcW w:w="418"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41" w:type="dxa"/>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5</w:t>
            </w:r>
          </w:p>
        </w:tc>
        <w:tc>
          <w:tcPr>
            <w:tcW w:w="690" w:type="dxa"/>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输液与输血</w:t>
            </w:r>
          </w:p>
        </w:tc>
        <w:tc>
          <w:tcPr>
            <w:tcW w:w="1988"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1.知道静脉输液的目的。</w:t>
            </w:r>
          </w:p>
          <w:p>
            <w:pPr>
              <w:snapToGrid w:val="0"/>
              <w:spacing w:line="288" w:lineRule="auto"/>
              <w:jc w:val="left"/>
              <w:rPr>
                <w:rFonts w:ascii="宋体" w:hAnsi="宋体"/>
                <w:color w:val="000000"/>
                <w:sz w:val="20"/>
                <w:szCs w:val="20"/>
              </w:rPr>
            </w:pPr>
            <w:r>
              <w:rPr>
                <w:rFonts w:hint="eastAsia" w:ascii="宋体" w:hAnsi="宋体"/>
                <w:color w:val="000000"/>
                <w:sz w:val="20"/>
                <w:szCs w:val="20"/>
              </w:rPr>
              <w:t>2.知道静脉补液应遵循的原则及补钾的“四不宜”原则。</w:t>
            </w:r>
          </w:p>
          <w:p>
            <w:pPr>
              <w:snapToGrid w:val="0"/>
              <w:spacing w:line="288" w:lineRule="auto"/>
              <w:jc w:val="left"/>
              <w:rPr>
                <w:rFonts w:ascii="宋体" w:hAnsi="宋体"/>
                <w:color w:val="000000"/>
                <w:sz w:val="20"/>
                <w:szCs w:val="20"/>
              </w:rPr>
            </w:pPr>
            <w:r>
              <w:rPr>
                <w:rFonts w:hint="eastAsia" w:ascii="宋体" w:hAnsi="宋体"/>
                <w:color w:val="000000"/>
                <w:sz w:val="20"/>
                <w:szCs w:val="20"/>
              </w:rPr>
              <w:t>3.知道常见输液障碍的种类。</w:t>
            </w:r>
          </w:p>
          <w:p>
            <w:pPr>
              <w:snapToGrid w:val="0"/>
              <w:spacing w:line="288" w:lineRule="auto"/>
              <w:jc w:val="left"/>
              <w:rPr>
                <w:rFonts w:ascii="宋体" w:hAnsi="宋体"/>
                <w:color w:val="000000"/>
                <w:sz w:val="20"/>
                <w:szCs w:val="20"/>
              </w:rPr>
            </w:pPr>
            <w:r>
              <w:rPr>
                <w:rFonts w:hint="eastAsia" w:ascii="宋体" w:hAnsi="宋体"/>
                <w:color w:val="000000"/>
                <w:sz w:val="20"/>
                <w:szCs w:val="20"/>
              </w:rPr>
              <w:t>4.知道静脉输血的目的和原则。</w:t>
            </w:r>
          </w:p>
          <w:p>
            <w:pPr>
              <w:snapToGrid w:val="0"/>
              <w:spacing w:line="288" w:lineRule="auto"/>
              <w:jc w:val="left"/>
              <w:rPr>
                <w:rFonts w:ascii="宋体" w:hAnsi="宋体"/>
                <w:color w:val="000000"/>
                <w:sz w:val="20"/>
                <w:szCs w:val="20"/>
              </w:rPr>
            </w:pPr>
            <w:r>
              <w:rPr>
                <w:rFonts w:hint="eastAsia" w:ascii="宋体" w:hAnsi="宋体"/>
                <w:color w:val="000000"/>
                <w:sz w:val="20"/>
                <w:szCs w:val="20"/>
              </w:rPr>
              <w:t>5.知道自体输血的优点。</w:t>
            </w:r>
          </w:p>
          <w:p>
            <w:pPr>
              <w:snapToGrid w:val="0"/>
              <w:spacing w:line="288" w:lineRule="auto"/>
              <w:jc w:val="left"/>
              <w:rPr>
                <w:rFonts w:ascii="宋体" w:hAnsi="宋体"/>
                <w:color w:val="000000"/>
                <w:sz w:val="20"/>
                <w:szCs w:val="20"/>
              </w:rPr>
            </w:pPr>
            <w:r>
              <w:rPr>
                <w:rFonts w:hint="eastAsia" w:ascii="宋体" w:hAnsi="宋体"/>
                <w:color w:val="000000"/>
                <w:sz w:val="20"/>
                <w:szCs w:val="20"/>
              </w:rPr>
              <w:t>6.知道成分输血的特点。</w:t>
            </w:r>
          </w:p>
          <w:p>
            <w:pPr>
              <w:snapToGrid w:val="0"/>
              <w:spacing w:line="288" w:lineRule="auto"/>
              <w:jc w:val="left"/>
              <w:rPr>
                <w:rFonts w:ascii="宋体" w:hAnsi="宋体"/>
                <w:color w:val="000000"/>
                <w:sz w:val="20"/>
                <w:szCs w:val="20"/>
              </w:rPr>
            </w:pPr>
            <w:r>
              <w:rPr>
                <w:rFonts w:hint="eastAsia" w:ascii="宋体" w:hAnsi="宋体"/>
                <w:color w:val="000000"/>
                <w:sz w:val="20"/>
                <w:szCs w:val="20"/>
              </w:rPr>
              <w:t>7.理解静脉输液、输液微粒、输液微粒污染、密闭式输液法、开放式输液法、静脉输血、间接输血法、直接输血法、血型、ABO血型鉴定、直接交叉配血试验及间接交叉配血试验的概念。</w:t>
            </w:r>
          </w:p>
          <w:p>
            <w:pPr>
              <w:snapToGrid w:val="0"/>
              <w:spacing w:line="288" w:lineRule="auto"/>
              <w:jc w:val="left"/>
              <w:rPr>
                <w:rFonts w:ascii="宋体" w:hAnsi="宋体"/>
                <w:color w:val="000000"/>
                <w:sz w:val="20"/>
                <w:szCs w:val="20"/>
              </w:rPr>
            </w:pPr>
            <w:r>
              <w:rPr>
                <w:rFonts w:hint="eastAsia" w:ascii="宋体" w:hAnsi="宋体"/>
                <w:color w:val="000000"/>
                <w:sz w:val="20"/>
                <w:szCs w:val="20"/>
              </w:rPr>
              <w:t>8.理解静脉输液的原理。</w:t>
            </w:r>
          </w:p>
          <w:p>
            <w:pPr>
              <w:snapToGrid w:val="0"/>
              <w:spacing w:line="288" w:lineRule="auto"/>
              <w:jc w:val="left"/>
              <w:rPr>
                <w:rFonts w:ascii="宋体" w:hAnsi="宋体"/>
                <w:color w:val="000000"/>
                <w:sz w:val="20"/>
                <w:szCs w:val="20"/>
              </w:rPr>
            </w:pPr>
            <w:r>
              <w:rPr>
                <w:rFonts w:hint="eastAsia" w:ascii="宋体" w:hAnsi="宋体"/>
                <w:color w:val="000000"/>
                <w:sz w:val="20"/>
                <w:szCs w:val="20"/>
              </w:rPr>
              <w:t>9.理解静脉输液常用溶液的种类及作用。</w:t>
            </w:r>
          </w:p>
          <w:p>
            <w:pPr>
              <w:snapToGrid w:val="0"/>
              <w:spacing w:line="288" w:lineRule="auto"/>
              <w:jc w:val="left"/>
              <w:rPr>
                <w:rFonts w:ascii="宋体" w:hAnsi="宋体"/>
                <w:color w:val="000000"/>
                <w:sz w:val="20"/>
                <w:szCs w:val="20"/>
              </w:rPr>
            </w:pPr>
            <w:r>
              <w:rPr>
                <w:rFonts w:hint="eastAsia" w:ascii="宋体" w:hAnsi="宋体"/>
                <w:color w:val="000000"/>
                <w:sz w:val="20"/>
                <w:szCs w:val="20"/>
              </w:rPr>
              <w:t>10.理解周围静脉输液法、静脉输血法及成分输血的注意事项。</w:t>
            </w:r>
          </w:p>
          <w:p>
            <w:pPr>
              <w:snapToGrid w:val="0"/>
              <w:spacing w:line="288" w:lineRule="auto"/>
              <w:jc w:val="left"/>
              <w:rPr>
                <w:rFonts w:ascii="宋体" w:hAnsi="宋体"/>
                <w:color w:val="000000"/>
                <w:sz w:val="20"/>
                <w:szCs w:val="20"/>
              </w:rPr>
            </w:pPr>
            <w:r>
              <w:rPr>
                <w:rFonts w:hint="eastAsia" w:ascii="宋体" w:hAnsi="宋体"/>
                <w:color w:val="000000"/>
                <w:sz w:val="20"/>
                <w:szCs w:val="20"/>
              </w:rPr>
              <w:t>11.理解输液过程中溶液不滴的原因。</w:t>
            </w:r>
          </w:p>
          <w:p>
            <w:pPr>
              <w:snapToGrid w:val="0"/>
              <w:spacing w:line="288" w:lineRule="auto"/>
              <w:jc w:val="left"/>
              <w:rPr>
                <w:rFonts w:ascii="宋体" w:hAnsi="宋体"/>
                <w:color w:val="000000"/>
                <w:sz w:val="20"/>
                <w:szCs w:val="20"/>
              </w:rPr>
            </w:pPr>
            <w:r>
              <w:rPr>
                <w:rFonts w:hint="eastAsia" w:ascii="宋体" w:hAnsi="宋体"/>
                <w:color w:val="000000"/>
                <w:sz w:val="20"/>
                <w:szCs w:val="20"/>
              </w:rPr>
              <w:t>12.理解常见输液反应及常见输血反应的原因。</w:t>
            </w:r>
          </w:p>
          <w:p>
            <w:pPr>
              <w:snapToGrid w:val="0"/>
              <w:spacing w:line="288" w:lineRule="auto"/>
              <w:jc w:val="left"/>
              <w:rPr>
                <w:rFonts w:ascii="宋体" w:hAnsi="宋体"/>
                <w:color w:val="000000"/>
                <w:sz w:val="20"/>
                <w:szCs w:val="20"/>
              </w:rPr>
            </w:pPr>
            <w:r>
              <w:rPr>
                <w:rFonts w:hint="eastAsia" w:ascii="宋体" w:hAnsi="宋体"/>
                <w:color w:val="000000"/>
                <w:sz w:val="20"/>
                <w:szCs w:val="20"/>
              </w:rPr>
              <w:t>13.理解各种血液制品的种类及作用。</w:t>
            </w:r>
          </w:p>
          <w:p>
            <w:pPr>
              <w:snapToGrid w:val="0"/>
              <w:spacing w:line="288" w:lineRule="auto"/>
              <w:jc w:val="left"/>
              <w:rPr>
                <w:rFonts w:ascii="宋体" w:hAnsi="宋体"/>
                <w:color w:val="000000"/>
                <w:sz w:val="20"/>
                <w:szCs w:val="20"/>
              </w:rPr>
            </w:pPr>
            <w:r>
              <w:rPr>
                <w:rFonts w:hint="eastAsia" w:ascii="宋体" w:hAnsi="宋体"/>
                <w:color w:val="000000"/>
                <w:sz w:val="20"/>
                <w:szCs w:val="20"/>
              </w:rPr>
              <w:t>14.理解ABO血型系统和Rh血型系统。</w:t>
            </w:r>
          </w:p>
          <w:p>
            <w:pPr>
              <w:snapToGrid w:val="0"/>
              <w:spacing w:line="288" w:lineRule="auto"/>
              <w:jc w:val="left"/>
              <w:rPr>
                <w:rFonts w:ascii="宋体" w:hAnsi="宋体"/>
                <w:color w:val="000000"/>
                <w:sz w:val="20"/>
                <w:szCs w:val="20"/>
              </w:rPr>
            </w:pPr>
            <w:r>
              <w:rPr>
                <w:rFonts w:hint="eastAsia" w:ascii="宋体" w:hAnsi="宋体"/>
                <w:color w:val="000000"/>
                <w:sz w:val="20"/>
                <w:szCs w:val="20"/>
              </w:rPr>
              <w:t>15.理解血型鉴定及交叉配血试验的意义。</w:t>
            </w:r>
          </w:p>
        </w:tc>
        <w:tc>
          <w:tcPr>
            <w:tcW w:w="1674"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1.在静脉输液过程中能够正确、合理地选择穿刺</w:t>
            </w:r>
          </w:p>
          <w:p>
            <w:pPr>
              <w:snapToGrid w:val="0"/>
              <w:spacing w:line="288" w:lineRule="auto"/>
              <w:jc w:val="left"/>
              <w:rPr>
                <w:rFonts w:ascii="宋体" w:hAnsi="宋体"/>
                <w:color w:val="000000"/>
                <w:sz w:val="20"/>
                <w:szCs w:val="20"/>
              </w:rPr>
            </w:pPr>
            <w:r>
              <w:rPr>
                <w:rFonts w:hint="eastAsia" w:ascii="宋体" w:hAnsi="宋体"/>
                <w:color w:val="000000"/>
                <w:sz w:val="20"/>
                <w:szCs w:val="20"/>
              </w:rPr>
              <w:t>部位,并能有意识地保护静脉。</w:t>
            </w:r>
          </w:p>
          <w:p>
            <w:pPr>
              <w:snapToGrid w:val="0"/>
              <w:spacing w:line="288" w:lineRule="auto"/>
              <w:jc w:val="left"/>
              <w:rPr>
                <w:rFonts w:ascii="宋体" w:hAnsi="宋体"/>
                <w:color w:val="000000"/>
                <w:sz w:val="20"/>
                <w:szCs w:val="20"/>
              </w:rPr>
            </w:pPr>
            <w:r>
              <w:rPr>
                <w:rFonts w:hint="eastAsia" w:ascii="宋体" w:hAnsi="宋体"/>
                <w:color w:val="000000"/>
                <w:sz w:val="20"/>
                <w:szCs w:val="20"/>
              </w:rPr>
              <w:t>2.能正确计算静脉输液的速度和时间。</w:t>
            </w:r>
          </w:p>
          <w:p>
            <w:pPr>
              <w:snapToGrid w:val="0"/>
              <w:spacing w:line="288" w:lineRule="auto"/>
              <w:jc w:val="left"/>
              <w:rPr>
                <w:rFonts w:ascii="宋体" w:hAnsi="宋体"/>
                <w:color w:val="000000"/>
                <w:sz w:val="20"/>
                <w:szCs w:val="20"/>
              </w:rPr>
            </w:pPr>
            <w:r>
              <w:rPr>
                <w:rFonts w:hint="eastAsia" w:ascii="宋体" w:hAnsi="宋体"/>
                <w:color w:val="000000"/>
                <w:sz w:val="20"/>
                <w:szCs w:val="20"/>
              </w:rPr>
              <w:t>3.能用正确的方法排除输液过程中出现的各种障碍。</w:t>
            </w:r>
          </w:p>
        </w:tc>
        <w:tc>
          <w:tcPr>
            <w:tcW w:w="1312"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1.具有严谨求实的工作作风和对病人高度负责的工作态度。</w:t>
            </w:r>
          </w:p>
          <w:p>
            <w:pPr>
              <w:snapToGrid w:val="0"/>
              <w:spacing w:line="288" w:lineRule="auto"/>
              <w:jc w:val="left"/>
              <w:rPr>
                <w:rFonts w:ascii="宋体" w:hAnsi="宋体"/>
                <w:color w:val="000000"/>
                <w:sz w:val="20"/>
                <w:szCs w:val="20"/>
              </w:rPr>
            </w:pPr>
            <w:r>
              <w:rPr>
                <w:rFonts w:hint="eastAsia" w:ascii="宋体" w:hAnsi="宋体"/>
                <w:color w:val="000000"/>
                <w:sz w:val="20"/>
                <w:szCs w:val="20"/>
              </w:rPr>
              <w:t>2.尊重、关心和体谅病人。</w:t>
            </w:r>
          </w:p>
          <w:p>
            <w:pPr>
              <w:snapToGrid w:val="0"/>
              <w:spacing w:line="288" w:lineRule="auto"/>
              <w:jc w:val="left"/>
              <w:rPr>
                <w:rFonts w:ascii="宋体" w:hAnsi="宋体"/>
                <w:color w:val="000000"/>
                <w:sz w:val="20"/>
                <w:szCs w:val="20"/>
              </w:rPr>
            </w:pPr>
            <w:r>
              <w:rPr>
                <w:rFonts w:hint="eastAsia" w:ascii="宋体" w:hAnsi="宋体"/>
                <w:color w:val="000000"/>
                <w:sz w:val="20"/>
                <w:szCs w:val="20"/>
              </w:rPr>
              <w:t>3.热爱护理学专业，具有为护理事业无私奉献的热情。</w:t>
            </w:r>
          </w:p>
        </w:tc>
        <w:tc>
          <w:tcPr>
            <w:tcW w:w="1312"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1.周围静脉输液法、静脉输血法及成分输</w:t>
            </w:r>
            <w:bookmarkStart w:id="1" w:name="_GoBack"/>
            <w:bookmarkEnd w:id="1"/>
            <w:r>
              <w:rPr>
                <w:rFonts w:hint="eastAsia" w:ascii="宋体" w:hAnsi="宋体"/>
                <w:color w:val="000000"/>
                <w:sz w:val="20"/>
                <w:szCs w:val="20"/>
              </w:rPr>
              <w:t>血的注意事项</w:t>
            </w:r>
          </w:p>
          <w:p>
            <w:pPr>
              <w:snapToGrid w:val="0"/>
              <w:spacing w:line="288" w:lineRule="auto"/>
              <w:jc w:val="left"/>
              <w:rPr>
                <w:rFonts w:ascii="宋体" w:hAnsi="宋体"/>
                <w:color w:val="000000"/>
                <w:sz w:val="20"/>
                <w:szCs w:val="20"/>
              </w:rPr>
            </w:pPr>
            <w:r>
              <w:rPr>
                <w:rFonts w:hint="eastAsia" w:ascii="宋体" w:hAnsi="宋体"/>
                <w:color w:val="000000"/>
                <w:sz w:val="20"/>
                <w:szCs w:val="20"/>
              </w:rPr>
              <w:t>2.输液过程中溶液不滴的原因</w:t>
            </w:r>
          </w:p>
          <w:p>
            <w:pPr>
              <w:snapToGrid w:val="0"/>
              <w:spacing w:line="288" w:lineRule="auto"/>
              <w:jc w:val="left"/>
              <w:rPr>
                <w:rFonts w:ascii="宋体" w:hAnsi="宋体"/>
                <w:color w:val="000000"/>
                <w:sz w:val="20"/>
                <w:szCs w:val="20"/>
              </w:rPr>
            </w:pPr>
            <w:r>
              <w:rPr>
                <w:rFonts w:hint="eastAsia" w:ascii="宋体" w:hAnsi="宋体"/>
                <w:color w:val="000000"/>
                <w:sz w:val="20"/>
                <w:szCs w:val="20"/>
              </w:rPr>
              <w:t>3.常见输液反应及常见输血反应的原因</w:t>
            </w:r>
          </w:p>
          <w:p>
            <w:pPr>
              <w:snapToGrid w:val="0"/>
              <w:spacing w:line="288" w:lineRule="auto"/>
              <w:jc w:val="left"/>
              <w:rPr>
                <w:rFonts w:ascii="宋体" w:hAnsi="宋体"/>
                <w:color w:val="000000"/>
                <w:sz w:val="20"/>
                <w:szCs w:val="20"/>
              </w:rPr>
            </w:pPr>
            <w:r>
              <w:rPr>
                <w:rFonts w:hint="eastAsia" w:ascii="宋体" w:hAnsi="宋体"/>
                <w:color w:val="000000"/>
                <w:sz w:val="20"/>
                <w:szCs w:val="20"/>
              </w:rPr>
              <w:t>4.输液故障的排除</w:t>
            </w:r>
          </w:p>
        </w:tc>
        <w:tc>
          <w:tcPr>
            <w:tcW w:w="344"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2</w:t>
            </w:r>
          </w:p>
        </w:tc>
        <w:tc>
          <w:tcPr>
            <w:tcW w:w="440"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10</w:t>
            </w:r>
          </w:p>
        </w:tc>
        <w:tc>
          <w:tcPr>
            <w:tcW w:w="418"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41" w:type="dxa"/>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6</w:t>
            </w:r>
          </w:p>
        </w:tc>
        <w:tc>
          <w:tcPr>
            <w:tcW w:w="690" w:type="dxa"/>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标本采集</w:t>
            </w:r>
          </w:p>
        </w:tc>
        <w:tc>
          <w:tcPr>
            <w:tcW w:w="1988"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1.知道标本采集的基本原则。</w:t>
            </w:r>
          </w:p>
          <w:p>
            <w:pPr>
              <w:snapToGrid w:val="0"/>
              <w:spacing w:line="288" w:lineRule="auto"/>
              <w:jc w:val="left"/>
              <w:rPr>
                <w:rFonts w:ascii="宋体" w:hAnsi="宋体"/>
                <w:color w:val="000000"/>
                <w:sz w:val="20"/>
                <w:szCs w:val="20"/>
              </w:rPr>
            </w:pPr>
            <w:r>
              <w:rPr>
                <w:rFonts w:hint="eastAsia" w:ascii="宋体" w:hAnsi="宋体"/>
                <w:color w:val="000000"/>
                <w:sz w:val="20"/>
                <w:szCs w:val="20"/>
              </w:rPr>
              <w:t>2.知道血液标本、尿液标本、粪便标本、</w:t>
            </w:r>
          </w:p>
          <w:p>
            <w:pPr>
              <w:snapToGrid w:val="0"/>
              <w:spacing w:line="288" w:lineRule="auto"/>
              <w:jc w:val="left"/>
              <w:rPr>
                <w:rFonts w:ascii="宋体" w:hAnsi="宋体"/>
                <w:color w:val="000000"/>
                <w:sz w:val="20"/>
                <w:szCs w:val="20"/>
              </w:rPr>
            </w:pPr>
            <w:r>
              <w:rPr>
                <w:rFonts w:hint="eastAsia" w:ascii="宋体" w:hAnsi="宋体"/>
                <w:color w:val="000000"/>
                <w:sz w:val="20"/>
                <w:szCs w:val="20"/>
              </w:rPr>
              <w:t>痰液标本及咽拭子标本采集的目的及注意事项。</w:t>
            </w:r>
          </w:p>
          <w:p>
            <w:pPr>
              <w:snapToGrid w:val="0"/>
              <w:spacing w:line="288" w:lineRule="auto"/>
              <w:jc w:val="left"/>
              <w:rPr>
                <w:rFonts w:ascii="宋体" w:hAnsi="宋体"/>
                <w:color w:val="000000"/>
                <w:sz w:val="20"/>
                <w:szCs w:val="20"/>
              </w:rPr>
            </w:pPr>
            <w:r>
              <w:rPr>
                <w:rFonts w:hint="eastAsia" w:ascii="宋体" w:hAnsi="宋体"/>
                <w:color w:val="000000"/>
                <w:sz w:val="20"/>
                <w:szCs w:val="20"/>
              </w:rPr>
              <w:t>3.知道留取12小时或24小时尿标本常用防腐剂的种类、作用与用法。</w:t>
            </w:r>
          </w:p>
          <w:p>
            <w:pPr>
              <w:snapToGrid w:val="0"/>
              <w:spacing w:line="288" w:lineRule="auto"/>
              <w:jc w:val="left"/>
              <w:rPr>
                <w:rFonts w:ascii="宋体" w:hAnsi="宋体"/>
                <w:color w:val="000000"/>
                <w:sz w:val="20"/>
                <w:szCs w:val="20"/>
              </w:rPr>
            </w:pPr>
            <w:r>
              <w:rPr>
                <w:rFonts w:hint="eastAsia" w:ascii="宋体" w:hAnsi="宋体"/>
                <w:color w:val="000000"/>
                <w:sz w:val="20"/>
                <w:szCs w:val="20"/>
              </w:rPr>
              <w:t>4.理解标本采集的意义。</w:t>
            </w:r>
          </w:p>
          <w:p>
            <w:pPr>
              <w:snapToGrid w:val="0"/>
              <w:spacing w:line="288" w:lineRule="auto"/>
              <w:jc w:val="left"/>
              <w:rPr>
                <w:rFonts w:ascii="宋体" w:hAnsi="宋体"/>
                <w:color w:val="000000"/>
                <w:sz w:val="20"/>
                <w:szCs w:val="20"/>
              </w:rPr>
            </w:pPr>
            <w:r>
              <w:rPr>
                <w:rFonts w:hint="eastAsia" w:ascii="宋体" w:hAnsi="宋体"/>
                <w:color w:val="000000"/>
                <w:sz w:val="20"/>
                <w:szCs w:val="20"/>
              </w:rPr>
              <w:t>5.理解不同类型的静脉血标本采集的目的、采血量、方法及标本容器选择的不同点。</w:t>
            </w:r>
          </w:p>
        </w:tc>
        <w:tc>
          <w:tcPr>
            <w:tcW w:w="1674"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能熟练进行各种标本的采集，方法正确、操作规范。</w:t>
            </w:r>
          </w:p>
        </w:tc>
        <w:tc>
          <w:tcPr>
            <w:tcW w:w="1312"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1.具有严谨求实的工作作风和对病人高度负责的工作态度。</w:t>
            </w:r>
          </w:p>
          <w:p>
            <w:pPr>
              <w:snapToGrid w:val="0"/>
              <w:spacing w:line="288" w:lineRule="auto"/>
              <w:jc w:val="left"/>
              <w:rPr>
                <w:rFonts w:ascii="宋体" w:hAnsi="宋体"/>
                <w:color w:val="000000"/>
                <w:sz w:val="20"/>
                <w:szCs w:val="20"/>
              </w:rPr>
            </w:pPr>
            <w:r>
              <w:rPr>
                <w:rFonts w:hint="eastAsia" w:ascii="宋体" w:hAnsi="宋体"/>
                <w:color w:val="000000"/>
                <w:sz w:val="20"/>
                <w:szCs w:val="20"/>
              </w:rPr>
              <w:t>2.尊重、关心和体谅病人。</w:t>
            </w:r>
          </w:p>
          <w:p>
            <w:pPr>
              <w:snapToGrid w:val="0"/>
              <w:spacing w:line="288" w:lineRule="auto"/>
              <w:jc w:val="left"/>
              <w:rPr>
                <w:rFonts w:ascii="宋体" w:hAnsi="宋体"/>
                <w:color w:val="000000"/>
                <w:sz w:val="20"/>
                <w:szCs w:val="20"/>
              </w:rPr>
            </w:pPr>
          </w:p>
        </w:tc>
        <w:tc>
          <w:tcPr>
            <w:tcW w:w="1312"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1.12小时或24小时尿标本常用防腐剂的种类、作用与用法</w:t>
            </w:r>
          </w:p>
          <w:p>
            <w:pPr>
              <w:snapToGrid w:val="0"/>
              <w:spacing w:line="288" w:lineRule="auto"/>
              <w:jc w:val="left"/>
              <w:rPr>
                <w:rFonts w:ascii="宋体" w:hAnsi="宋体"/>
                <w:color w:val="000000"/>
                <w:sz w:val="20"/>
                <w:szCs w:val="20"/>
              </w:rPr>
            </w:pPr>
            <w:r>
              <w:rPr>
                <w:rFonts w:hint="eastAsia" w:ascii="宋体" w:hAnsi="宋体"/>
                <w:color w:val="000000"/>
                <w:sz w:val="20"/>
                <w:szCs w:val="20"/>
              </w:rPr>
              <w:t>2.不同类型的静脉血标本采集的目的、采血量、方法及标本容器选择</w:t>
            </w:r>
          </w:p>
        </w:tc>
        <w:tc>
          <w:tcPr>
            <w:tcW w:w="344"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0</w:t>
            </w:r>
          </w:p>
        </w:tc>
        <w:tc>
          <w:tcPr>
            <w:tcW w:w="440"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4</w:t>
            </w:r>
          </w:p>
        </w:tc>
        <w:tc>
          <w:tcPr>
            <w:tcW w:w="418"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41" w:type="dxa"/>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7</w:t>
            </w:r>
          </w:p>
        </w:tc>
        <w:tc>
          <w:tcPr>
            <w:tcW w:w="690" w:type="dxa"/>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疼痛护理</w:t>
            </w:r>
          </w:p>
        </w:tc>
        <w:tc>
          <w:tcPr>
            <w:tcW w:w="1988"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1.知道影响疼痛的因素。</w:t>
            </w:r>
          </w:p>
          <w:p>
            <w:pPr>
              <w:snapToGrid w:val="0"/>
              <w:spacing w:line="288" w:lineRule="auto"/>
              <w:jc w:val="left"/>
              <w:rPr>
                <w:rFonts w:ascii="宋体" w:hAnsi="宋体"/>
                <w:color w:val="000000"/>
                <w:sz w:val="20"/>
                <w:szCs w:val="20"/>
              </w:rPr>
            </w:pPr>
            <w:r>
              <w:rPr>
                <w:rFonts w:hint="eastAsia" w:ascii="宋体" w:hAnsi="宋体"/>
                <w:color w:val="000000"/>
                <w:sz w:val="20"/>
                <w:szCs w:val="20"/>
              </w:rPr>
              <w:t>2.知道WHO的疼痛分级内容。</w:t>
            </w:r>
          </w:p>
          <w:p>
            <w:pPr>
              <w:snapToGrid w:val="0"/>
              <w:spacing w:line="288" w:lineRule="auto"/>
              <w:jc w:val="left"/>
              <w:rPr>
                <w:rFonts w:ascii="宋体" w:hAnsi="宋体"/>
                <w:color w:val="000000"/>
                <w:sz w:val="20"/>
                <w:szCs w:val="20"/>
              </w:rPr>
            </w:pPr>
            <w:r>
              <w:rPr>
                <w:rFonts w:hint="eastAsia" w:ascii="宋体" w:hAnsi="宋体"/>
                <w:color w:val="000000"/>
                <w:sz w:val="20"/>
                <w:szCs w:val="20"/>
              </w:rPr>
              <w:t>3.知道疼痛控制标准。</w:t>
            </w:r>
          </w:p>
          <w:p>
            <w:pPr>
              <w:snapToGrid w:val="0"/>
              <w:spacing w:line="288" w:lineRule="auto"/>
              <w:jc w:val="left"/>
              <w:rPr>
                <w:rFonts w:ascii="宋体" w:hAnsi="宋体"/>
                <w:color w:val="000000"/>
                <w:sz w:val="20"/>
                <w:szCs w:val="20"/>
              </w:rPr>
            </w:pPr>
            <w:r>
              <w:rPr>
                <w:rFonts w:hint="eastAsia" w:ascii="宋体" w:hAnsi="宋体"/>
                <w:color w:val="000000"/>
                <w:sz w:val="20"/>
                <w:szCs w:val="20"/>
              </w:rPr>
              <w:t>4.知道常用镇痛药物和常见的给药途径及其不良反应。</w:t>
            </w:r>
          </w:p>
          <w:p>
            <w:pPr>
              <w:snapToGrid w:val="0"/>
              <w:spacing w:line="288" w:lineRule="auto"/>
              <w:jc w:val="left"/>
              <w:rPr>
                <w:rFonts w:ascii="宋体" w:hAnsi="宋体"/>
                <w:color w:val="000000"/>
                <w:sz w:val="20"/>
                <w:szCs w:val="20"/>
              </w:rPr>
            </w:pPr>
            <w:r>
              <w:rPr>
                <w:rFonts w:hint="eastAsia" w:ascii="宋体" w:hAnsi="宋体"/>
                <w:color w:val="000000"/>
                <w:sz w:val="20"/>
                <w:szCs w:val="20"/>
              </w:rPr>
              <w:t>5.理解疼痛、痛觉、痛反应、疼痛阈及疼痛耐受力的概念。</w:t>
            </w:r>
          </w:p>
          <w:p>
            <w:pPr>
              <w:snapToGrid w:val="0"/>
              <w:spacing w:line="288" w:lineRule="auto"/>
              <w:jc w:val="left"/>
              <w:rPr>
                <w:rFonts w:ascii="宋体" w:hAnsi="宋体"/>
                <w:color w:val="000000"/>
                <w:sz w:val="20"/>
                <w:szCs w:val="20"/>
              </w:rPr>
            </w:pPr>
            <w:r>
              <w:rPr>
                <w:rFonts w:hint="eastAsia" w:ascii="宋体" w:hAnsi="宋体"/>
                <w:color w:val="000000"/>
                <w:sz w:val="20"/>
                <w:szCs w:val="20"/>
              </w:rPr>
              <w:t>6.理解疼痛的发生机制并举例说明疼痛的原因。</w:t>
            </w:r>
          </w:p>
          <w:p>
            <w:pPr>
              <w:snapToGrid w:val="0"/>
              <w:spacing w:line="288" w:lineRule="auto"/>
              <w:jc w:val="left"/>
              <w:rPr>
                <w:rFonts w:ascii="宋体" w:hAnsi="宋体"/>
                <w:color w:val="000000"/>
                <w:sz w:val="20"/>
                <w:szCs w:val="20"/>
              </w:rPr>
            </w:pPr>
            <w:r>
              <w:rPr>
                <w:rFonts w:hint="eastAsia" w:ascii="宋体" w:hAnsi="宋体"/>
                <w:color w:val="000000"/>
                <w:sz w:val="20"/>
                <w:szCs w:val="20"/>
              </w:rPr>
              <w:t>7.理解疼痛对个体的影响。</w:t>
            </w:r>
          </w:p>
          <w:p>
            <w:pPr>
              <w:snapToGrid w:val="0"/>
              <w:spacing w:line="288" w:lineRule="auto"/>
              <w:jc w:val="left"/>
              <w:rPr>
                <w:rFonts w:ascii="宋体" w:hAnsi="宋体"/>
                <w:color w:val="000000"/>
                <w:sz w:val="20"/>
                <w:szCs w:val="20"/>
              </w:rPr>
            </w:pPr>
            <w:r>
              <w:rPr>
                <w:rFonts w:hint="eastAsia" w:ascii="宋体" w:hAnsi="宋体"/>
                <w:color w:val="000000"/>
                <w:sz w:val="20"/>
                <w:szCs w:val="20"/>
              </w:rPr>
              <w:t>8.理解疼痛的护理流程。</w:t>
            </w:r>
          </w:p>
          <w:p>
            <w:pPr>
              <w:snapToGrid w:val="0"/>
              <w:spacing w:line="288" w:lineRule="auto"/>
              <w:jc w:val="left"/>
              <w:rPr>
                <w:rFonts w:ascii="宋体" w:hAnsi="宋体"/>
                <w:color w:val="000000"/>
                <w:sz w:val="20"/>
                <w:szCs w:val="20"/>
              </w:rPr>
            </w:pPr>
            <w:r>
              <w:rPr>
                <w:rFonts w:hint="eastAsia" w:ascii="宋体" w:hAnsi="宋体"/>
                <w:color w:val="000000"/>
                <w:sz w:val="20"/>
                <w:szCs w:val="20"/>
              </w:rPr>
              <w:t>9.理解疼痛的评估内容和方法。</w:t>
            </w:r>
          </w:p>
          <w:p>
            <w:pPr>
              <w:snapToGrid w:val="0"/>
              <w:spacing w:line="288" w:lineRule="auto"/>
              <w:jc w:val="left"/>
              <w:rPr>
                <w:rFonts w:ascii="宋体" w:hAnsi="宋体"/>
                <w:color w:val="000000"/>
                <w:sz w:val="20"/>
                <w:szCs w:val="20"/>
              </w:rPr>
            </w:pPr>
            <w:r>
              <w:rPr>
                <w:rFonts w:hint="eastAsia" w:ascii="宋体" w:hAnsi="宋体"/>
                <w:color w:val="000000"/>
                <w:sz w:val="20"/>
                <w:szCs w:val="20"/>
              </w:rPr>
              <w:t>10.能正确说明WHO推荐的三阶梯镇痛疗法的基本原则和内容。</w:t>
            </w:r>
          </w:p>
        </w:tc>
        <w:tc>
          <w:tcPr>
            <w:tcW w:w="1674"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1.能结合疼痛病人的实际情况，选择合适的评估</w:t>
            </w:r>
          </w:p>
          <w:p>
            <w:pPr>
              <w:snapToGrid w:val="0"/>
              <w:spacing w:line="288" w:lineRule="auto"/>
              <w:jc w:val="left"/>
              <w:rPr>
                <w:rFonts w:ascii="宋体" w:hAnsi="宋体"/>
                <w:color w:val="000000"/>
                <w:sz w:val="20"/>
                <w:szCs w:val="20"/>
              </w:rPr>
            </w:pPr>
            <w:r>
              <w:rPr>
                <w:rFonts w:hint="eastAsia" w:ascii="宋体" w:hAnsi="宋体"/>
                <w:color w:val="000000"/>
                <w:sz w:val="20"/>
                <w:szCs w:val="20"/>
              </w:rPr>
              <w:t>工具对其疼痛程度进行正确评估。</w:t>
            </w:r>
          </w:p>
          <w:p>
            <w:pPr>
              <w:snapToGrid w:val="0"/>
              <w:spacing w:line="288" w:lineRule="auto"/>
              <w:jc w:val="left"/>
              <w:rPr>
                <w:rFonts w:ascii="宋体" w:hAnsi="宋体"/>
                <w:color w:val="000000"/>
                <w:sz w:val="20"/>
                <w:szCs w:val="20"/>
              </w:rPr>
            </w:pPr>
            <w:r>
              <w:rPr>
                <w:rFonts w:hint="eastAsia" w:ascii="宋体" w:hAnsi="宋体"/>
                <w:color w:val="000000"/>
                <w:sz w:val="20"/>
                <w:szCs w:val="20"/>
              </w:rPr>
              <w:t>2.能结合疼痛病人的实际情况，采取有针对性及</w:t>
            </w:r>
          </w:p>
          <w:p>
            <w:pPr>
              <w:snapToGrid w:val="0"/>
              <w:spacing w:line="288" w:lineRule="auto"/>
              <w:jc w:val="left"/>
              <w:rPr>
                <w:rFonts w:ascii="宋体" w:hAnsi="宋体"/>
                <w:color w:val="000000"/>
                <w:sz w:val="20"/>
                <w:szCs w:val="20"/>
              </w:rPr>
            </w:pPr>
            <w:r>
              <w:rPr>
                <w:rFonts w:hint="eastAsia" w:ascii="宋体" w:hAnsi="宋体"/>
                <w:color w:val="000000"/>
                <w:sz w:val="20"/>
                <w:szCs w:val="20"/>
              </w:rPr>
              <w:t>有效的控制疼痛的护理措施。</w:t>
            </w:r>
          </w:p>
        </w:tc>
        <w:tc>
          <w:tcPr>
            <w:tcW w:w="1312"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1.具有严谨求实的工作作风和对病人高度负责的工作态度。</w:t>
            </w:r>
          </w:p>
          <w:p>
            <w:pPr>
              <w:snapToGrid w:val="0"/>
              <w:spacing w:line="288" w:lineRule="auto"/>
              <w:jc w:val="left"/>
              <w:rPr>
                <w:rFonts w:ascii="宋体" w:hAnsi="宋体"/>
                <w:color w:val="000000"/>
                <w:sz w:val="20"/>
                <w:szCs w:val="20"/>
              </w:rPr>
            </w:pPr>
            <w:r>
              <w:rPr>
                <w:rFonts w:hint="eastAsia" w:ascii="宋体" w:hAnsi="宋体"/>
                <w:color w:val="000000"/>
                <w:sz w:val="20"/>
                <w:szCs w:val="20"/>
              </w:rPr>
              <w:t>2.尊重、关心和体谅病人。</w:t>
            </w:r>
          </w:p>
          <w:p>
            <w:pPr>
              <w:snapToGrid w:val="0"/>
              <w:spacing w:line="288" w:lineRule="auto"/>
              <w:jc w:val="left"/>
              <w:rPr>
                <w:rFonts w:ascii="宋体" w:hAnsi="宋体"/>
                <w:color w:val="000000"/>
                <w:sz w:val="20"/>
                <w:szCs w:val="20"/>
              </w:rPr>
            </w:pPr>
          </w:p>
        </w:tc>
        <w:tc>
          <w:tcPr>
            <w:tcW w:w="1312"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1.常用镇痛药物和常见的给药途径及其不良反应</w:t>
            </w:r>
          </w:p>
          <w:p>
            <w:pPr>
              <w:snapToGrid w:val="0"/>
              <w:spacing w:line="288" w:lineRule="auto"/>
              <w:jc w:val="left"/>
              <w:rPr>
                <w:rFonts w:ascii="宋体" w:hAnsi="宋体"/>
                <w:color w:val="000000"/>
                <w:sz w:val="20"/>
                <w:szCs w:val="20"/>
              </w:rPr>
            </w:pPr>
            <w:r>
              <w:rPr>
                <w:rFonts w:hint="eastAsia" w:ascii="宋体" w:hAnsi="宋体"/>
                <w:color w:val="000000"/>
                <w:sz w:val="20"/>
                <w:szCs w:val="20"/>
              </w:rPr>
              <w:t>2.疼痛的评估内容和方法</w:t>
            </w:r>
          </w:p>
        </w:tc>
        <w:tc>
          <w:tcPr>
            <w:tcW w:w="344"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0</w:t>
            </w:r>
          </w:p>
        </w:tc>
        <w:tc>
          <w:tcPr>
            <w:tcW w:w="440"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0</w:t>
            </w:r>
          </w:p>
        </w:tc>
        <w:tc>
          <w:tcPr>
            <w:tcW w:w="418"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41" w:type="dxa"/>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8</w:t>
            </w:r>
          </w:p>
        </w:tc>
        <w:tc>
          <w:tcPr>
            <w:tcW w:w="690" w:type="dxa"/>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病情观察及危重病人管理</w:t>
            </w:r>
          </w:p>
        </w:tc>
        <w:tc>
          <w:tcPr>
            <w:tcW w:w="1988"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1.知道病情观察的内容及方法。</w:t>
            </w:r>
          </w:p>
          <w:p>
            <w:pPr>
              <w:snapToGrid w:val="0"/>
              <w:spacing w:line="288" w:lineRule="auto"/>
              <w:jc w:val="left"/>
              <w:rPr>
                <w:rFonts w:ascii="宋体" w:hAnsi="宋体"/>
                <w:color w:val="000000"/>
                <w:sz w:val="20"/>
                <w:szCs w:val="20"/>
              </w:rPr>
            </w:pPr>
            <w:r>
              <w:rPr>
                <w:rFonts w:hint="eastAsia" w:ascii="宋体" w:hAnsi="宋体"/>
                <w:color w:val="000000"/>
                <w:sz w:val="20"/>
                <w:szCs w:val="20"/>
              </w:rPr>
              <w:t>2.知道洗胃的目的、常用洗胃溶液。</w:t>
            </w:r>
          </w:p>
          <w:p>
            <w:pPr>
              <w:snapToGrid w:val="0"/>
              <w:spacing w:line="288" w:lineRule="auto"/>
              <w:jc w:val="left"/>
              <w:rPr>
                <w:rFonts w:ascii="宋体" w:hAnsi="宋体"/>
                <w:color w:val="000000"/>
                <w:sz w:val="20"/>
                <w:szCs w:val="20"/>
              </w:rPr>
            </w:pPr>
            <w:r>
              <w:rPr>
                <w:rFonts w:hint="eastAsia" w:ascii="宋体" w:hAnsi="宋体"/>
                <w:color w:val="000000"/>
                <w:sz w:val="20"/>
                <w:szCs w:val="20"/>
              </w:rPr>
              <w:t>3.知道简易呼吸器的操作要点。</w:t>
            </w:r>
          </w:p>
          <w:p>
            <w:pPr>
              <w:snapToGrid w:val="0"/>
              <w:spacing w:line="288" w:lineRule="auto"/>
              <w:jc w:val="left"/>
              <w:rPr>
                <w:rFonts w:ascii="宋体" w:hAnsi="宋体"/>
                <w:color w:val="000000"/>
                <w:sz w:val="20"/>
                <w:szCs w:val="20"/>
              </w:rPr>
            </w:pPr>
            <w:r>
              <w:rPr>
                <w:rFonts w:hint="eastAsia" w:ascii="宋体" w:hAnsi="宋体"/>
                <w:color w:val="000000"/>
                <w:sz w:val="20"/>
                <w:szCs w:val="20"/>
              </w:rPr>
              <w:t>4.理解意识状态、意识障碍、轻度昏迷、深度昏迷、洗胃的概念。</w:t>
            </w:r>
          </w:p>
          <w:p>
            <w:pPr>
              <w:snapToGrid w:val="0"/>
              <w:spacing w:line="288" w:lineRule="auto"/>
              <w:jc w:val="left"/>
              <w:rPr>
                <w:rFonts w:ascii="宋体" w:hAnsi="宋体"/>
                <w:color w:val="000000"/>
                <w:sz w:val="20"/>
                <w:szCs w:val="20"/>
              </w:rPr>
            </w:pPr>
            <w:r>
              <w:rPr>
                <w:rFonts w:hint="eastAsia" w:ascii="宋体" w:hAnsi="宋体"/>
                <w:color w:val="000000"/>
                <w:sz w:val="20"/>
                <w:szCs w:val="20"/>
              </w:rPr>
              <w:t>5.理解意识障碍的种类。</w:t>
            </w:r>
          </w:p>
          <w:p>
            <w:pPr>
              <w:snapToGrid w:val="0"/>
              <w:spacing w:line="288" w:lineRule="auto"/>
              <w:jc w:val="left"/>
              <w:rPr>
                <w:rFonts w:ascii="宋体" w:hAnsi="宋体"/>
                <w:color w:val="000000"/>
                <w:sz w:val="20"/>
                <w:szCs w:val="20"/>
              </w:rPr>
            </w:pPr>
            <w:r>
              <w:rPr>
                <w:rFonts w:hint="eastAsia" w:ascii="宋体" w:hAnsi="宋体"/>
                <w:color w:val="000000"/>
                <w:sz w:val="20"/>
                <w:szCs w:val="20"/>
              </w:rPr>
              <w:t>6.运用格拉斯哥昏迷评分分级。</w:t>
            </w:r>
          </w:p>
          <w:p>
            <w:pPr>
              <w:snapToGrid w:val="0"/>
              <w:spacing w:line="288" w:lineRule="auto"/>
              <w:jc w:val="left"/>
              <w:rPr>
                <w:rFonts w:ascii="宋体" w:hAnsi="宋体"/>
                <w:color w:val="000000"/>
                <w:sz w:val="20"/>
                <w:szCs w:val="20"/>
              </w:rPr>
            </w:pPr>
            <w:r>
              <w:rPr>
                <w:rFonts w:hint="eastAsia" w:ascii="宋体" w:hAnsi="宋体"/>
                <w:color w:val="000000"/>
                <w:sz w:val="20"/>
                <w:szCs w:val="20"/>
              </w:rPr>
              <w:t>7.理解洗胃的注意事项。</w:t>
            </w:r>
          </w:p>
        </w:tc>
        <w:tc>
          <w:tcPr>
            <w:tcW w:w="1674"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1.按照正确的原则和方法完成洗胃法的操作。</w:t>
            </w:r>
          </w:p>
          <w:p>
            <w:pPr>
              <w:snapToGrid w:val="0"/>
              <w:spacing w:line="288" w:lineRule="auto"/>
              <w:jc w:val="left"/>
              <w:rPr>
                <w:rFonts w:ascii="宋体" w:hAnsi="宋体"/>
                <w:color w:val="000000"/>
                <w:sz w:val="20"/>
                <w:szCs w:val="20"/>
              </w:rPr>
            </w:pPr>
            <w:r>
              <w:rPr>
                <w:rFonts w:hint="eastAsia" w:ascii="宋体" w:hAnsi="宋体"/>
                <w:color w:val="000000"/>
                <w:sz w:val="20"/>
                <w:szCs w:val="20"/>
              </w:rPr>
              <w:t>2.按照正确的原则和方法完成简易人工呼吸器操作。</w:t>
            </w:r>
          </w:p>
        </w:tc>
        <w:tc>
          <w:tcPr>
            <w:tcW w:w="1312"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1.具有严谨求实的工作作风和对病人高度负责的工作态度。</w:t>
            </w:r>
          </w:p>
          <w:p>
            <w:pPr>
              <w:snapToGrid w:val="0"/>
              <w:spacing w:line="288" w:lineRule="auto"/>
              <w:jc w:val="left"/>
              <w:rPr>
                <w:rFonts w:ascii="宋体" w:hAnsi="宋体"/>
                <w:color w:val="000000"/>
                <w:sz w:val="20"/>
                <w:szCs w:val="20"/>
              </w:rPr>
            </w:pPr>
            <w:r>
              <w:rPr>
                <w:rFonts w:hint="eastAsia" w:ascii="宋体" w:hAnsi="宋体"/>
                <w:color w:val="000000"/>
                <w:sz w:val="20"/>
                <w:szCs w:val="20"/>
              </w:rPr>
              <w:t>2.尊重、关心和体谅病人。</w:t>
            </w:r>
          </w:p>
          <w:p>
            <w:pPr>
              <w:snapToGrid w:val="0"/>
              <w:spacing w:line="288" w:lineRule="auto"/>
              <w:jc w:val="left"/>
              <w:rPr>
                <w:rFonts w:ascii="宋体" w:hAnsi="宋体"/>
                <w:color w:val="000000"/>
                <w:sz w:val="20"/>
                <w:szCs w:val="20"/>
              </w:rPr>
            </w:pPr>
          </w:p>
        </w:tc>
        <w:tc>
          <w:tcPr>
            <w:tcW w:w="1312"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1.意识障碍的种类</w:t>
            </w:r>
          </w:p>
          <w:p>
            <w:pPr>
              <w:snapToGrid w:val="0"/>
              <w:spacing w:line="288" w:lineRule="auto"/>
              <w:jc w:val="left"/>
              <w:rPr>
                <w:rFonts w:ascii="宋体" w:hAnsi="宋体"/>
                <w:color w:val="000000"/>
                <w:sz w:val="20"/>
                <w:szCs w:val="20"/>
              </w:rPr>
            </w:pPr>
            <w:r>
              <w:rPr>
                <w:rFonts w:hint="eastAsia" w:ascii="宋体" w:hAnsi="宋体"/>
                <w:color w:val="000000"/>
                <w:sz w:val="20"/>
                <w:szCs w:val="20"/>
              </w:rPr>
              <w:t>2.格拉斯哥昏迷评分分级</w:t>
            </w:r>
          </w:p>
          <w:p>
            <w:pPr>
              <w:snapToGrid w:val="0"/>
              <w:spacing w:line="288" w:lineRule="auto"/>
              <w:jc w:val="left"/>
              <w:rPr>
                <w:rFonts w:ascii="宋体" w:hAnsi="宋体"/>
                <w:color w:val="000000"/>
                <w:sz w:val="20"/>
                <w:szCs w:val="20"/>
              </w:rPr>
            </w:pPr>
            <w:r>
              <w:rPr>
                <w:rFonts w:hint="eastAsia" w:ascii="宋体" w:hAnsi="宋体"/>
                <w:color w:val="000000"/>
                <w:sz w:val="20"/>
                <w:szCs w:val="20"/>
              </w:rPr>
              <w:t>3.洗胃的注意事项</w:t>
            </w:r>
          </w:p>
        </w:tc>
        <w:tc>
          <w:tcPr>
            <w:tcW w:w="344"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2</w:t>
            </w:r>
          </w:p>
        </w:tc>
        <w:tc>
          <w:tcPr>
            <w:tcW w:w="440"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4</w:t>
            </w:r>
          </w:p>
        </w:tc>
        <w:tc>
          <w:tcPr>
            <w:tcW w:w="418"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41" w:type="dxa"/>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9</w:t>
            </w:r>
          </w:p>
        </w:tc>
        <w:tc>
          <w:tcPr>
            <w:tcW w:w="690" w:type="dxa"/>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临终护理</w:t>
            </w:r>
          </w:p>
        </w:tc>
        <w:tc>
          <w:tcPr>
            <w:tcW w:w="1988"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1.知道脑死亡的诊断标准。</w:t>
            </w:r>
          </w:p>
          <w:p>
            <w:pPr>
              <w:snapToGrid w:val="0"/>
              <w:spacing w:line="288" w:lineRule="auto"/>
              <w:jc w:val="left"/>
              <w:rPr>
                <w:rFonts w:ascii="宋体" w:hAnsi="宋体"/>
                <w:color w:val="000000"/>
                <w:sz w:val="20"/>
                <w:szCs w:val="20"/>
              </w:rPr>
            </w:pPr>
            <w:r>
              <w:rPr>
                <w:rFonts w:hint="eastAsia" w:ascii="宋体" w:hAnsi="宋体"/>
                <w:color w:val="000000"/>
                <w:sz w:val="20"/>
                <w:szCs w:val="20"/>
              </w:rPr>
              <w:t>2.知道死亡教育的目的和内容。</w:t>
            </w:r>
          </w:p>
          <w:p>
            <w:pPr>
              <w:snapToGrid w:val="0"/>
              <w:spacing w:line="288" w:lineRule="auto"/>
              <w:jc w:val="left"/>
              <w:rPr>
                <w:rFonts w:ascii="宋体" w:hAnsi="宋体"/>
                <w:color w:val="000000"/>
                <w:sz w:val="20"/>
                <w:szCs w:val="20"/>
              </w:rPr>
            </w:pPr>
            <w:r>
              <w:rPr>
                <w:rFonts w:hint="eastAsia" w:ascii="宋体" w:hAnsi="宋体"/>
                <w:color w:val="000000"/>
                <w:sz w:val="20"/>
                <w:szCs w:val="20"/>
              </w:rPr>
              <w:t>3.知道临终病人各阶段的生理评估內容。</w:t>
            </w:r>
          </w:p>
          <w:p>
            <w:pPr>
              <w:snapToGrid w:val="0"/>
              <w:spacing w:line="288" w:lineRule="auto"/>
              <w:jc w:val="left"/>
              <w:rPr>
                <w:rFonts w:ascii="宋体" w:hAnsi="宋体"/>
                <w:color w:val="000000"/>
                <w:sz w:val="20"/>
                <w:szCs w:val="20"/>
              </w:rPr>
            </w:pPr>
            <w:r>
              <w:rPr>
                <w:rFonts w:hint="eastAsia" w:ascii="宋体" w:hAnsi="宋体"/>
                <w:color w:val="000000"/>
                <w:sz w:val="20"/>
                <w:szCs w:val="20"/>
              </w:rPr>
              <w:t>4.知道濒死病人的临床表现及死亡诊断依据。</w:t>
            </w:r>
          </w:p>
          <w:p>
            <w:pPr>
              <w:snapToGrid w:val="0"/>
              <w:spacing w:line="288" w:lineRule="auto"/>
              <w:jc w:val="left"/>
              <w:rPr>
                <w:rFonts w:ascii="宋体" w:hAnsi="宋体"/>
                <w:color w:val="000000"/>
                <w:sz w:val="20"/>
                <w:szCs w:val="20"/>
              </w:rPr>
            </w:pPr>
            <w:r>
              <w:rPr>
                <w:rFonts w:hint="eastAsia" w:ascii="宋体" w:hAnsi="宋体"/>
                <w:color w:val="000000"/>
                <w:sz w:val="20"/>
                <w:szCs w:val="20"/>
              </w:rPr>
              <w:t>5.知道临终关怀的组织机构的类别及基本服务项目。</w:t>
            </w:r>
          </w:p>
          <w:p>
            <w:pPr>
              <w:snapToGrid w:val="0"/>
              <w:spacing w:line="288" w:lineRule="auto"/>
              <w:jc w:val="left"/>
              <w:rPr>
                <w:rFonts w:ascii="宋体" w:hAnsi="宋体"/>
                <w:color w:val="000000"/>
                <w:sz w:val="20"/>
                <w:szCs w:val="20"/>
              </w:rPr>
            </w:pPr>
            <w:r>
              <w:rPr>
                <w:rFonts w:hint="eastAsia" w:ascii="宋体" w:hAnsi="宋体"/>
                <w:color w:val="000000"/>
                <w:sz w:val="20"/>
                <w:szCs w:val="20"/>
              </w:rPr>
              <w:t>6.理解临终关怀、死亡教育、濒死、脑死亡的概念。</w:t>
            </w:r>
          </w:p>
          <w:p>
            <w:pPr>
              <w:snapToGrid w:val="0"/>
              <w:spacing w:line="288" w:lineRule="auto"/>
              <w:jc w:val="left"/>
              <w:rPr>
                <w:rFonts w:ascii="宋体" w:hAnsi="宋体"/>
                <w:color w:val="000000"/>
                <w:sz w:val="20"/>
                <w:szCs w:val="20"/>
              </w:rPr>
            </w:pPr>
            <w:r>
              <w:rPr>
                <w:rFonts w:hint="eastAsia" w:ascii="宋体" w:hAnsi="宋体"/>
                <w:color w:val="000000"/>
                <w:sz w:val="20"/>
                <w:szCs w:val="20"/>
              </w:rPr>
              <w:t>7.理解临终关怀的理念。</w:t>
            </w:r>
          </w:p>
          <w:p>
            <w:pPr>
              <w:snapToGrid w:val="0"/>
              <w:spacing w:line="288" w:lineRule="auto"/>
              <w:jc w:val="left"/>
              <w:rPr>
                <w:rFonts w:ascii="宋体" w:hAnsi="宋体"/>
                <w:color w:val="000000"/>
                <w:sz w:val="20"/>
                <w:szCs w:val="20"/>
              </w:rPr>
            </w:pPr>
            <w:r>
              <w:rPr>
                <w:rFonts w:hint="eastAsia" w:ascii="宋体" w:hAnsi="宋体"/>
                <w:color w:val="000000"/>
                <w:sz w:val="20"/>
                <w:szCs w:val="20"/>
              </w:rPr>
              <w:t>8.理解死亡过程各期的表现和特点。</w:t>
            </w:r>
          </w:p>
          <w:p>
            <w:pPr>
              <w:snapToGrid w:val="0"/>
              <w:spacing w:line="288" w:lineRule="auto"/>
              <w:jc w:val="left"/>
              <w:rPr>
                <w:rFonts w:ascii="宋体" w:hAnsi="宋体"/>
                <w:color w:val="000000"/>
                <w:sz w:val="20"/>
                <w:szCs w:val="20"/>
              </w:rPr>
            </w:pPr>
            <w:r>
              <w:rPr>
                <w:rFonts w:hint="eastAsia" w:ascii="宋体" w:hAnsi="宋体"/>
                <w:color w:val="000000"/>
                <w:sz w:val="20"/>
                <w:szCs w:val="20"/>
              </w:rPr>
              <w:t>9.理解临终病人的护理原则。</w:t>
            </w:r>
          </w:p>
          <w:p>
            <w:pPr>
              <w:snapToGrid w:val="0"/>
              <w:spacing w:line="288" w:lineRule="auto"/>
              <w:jc w:val="left"/>
              <w:rPr>
                <w:rFonts w:ascii="宋体" w:hAnsi="宋体"/>
                <w:color w:val="000000"/>
                <w:sz w:val="20"/>
                <w:szCs w:val="20"/>
              </w:rPr>
            </w:pPr>
            <w:r>
              <w:rPr>
                <w:rFonts w:hint="eastAsia" w:ascii="宋体" w:hAnsi="宋体"/>
                <w:color w:val="000000"/>
                <w:sz w:val="20"/>
                <w:szCs w:val="20"/>
              </w:rPr>
              <w:t>10.理解临终病人的各个心理反应期。</w:t>
            </w:r>
          </w:p>
        </w:tc>
        <w:tc>
          <w:tcPr>
            <w:tcW w:w="1674"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1.能应用护理程序为临终病人及家属提供身心支持。</w:t>
            </w:r>
          </w:p>
          <w:p>
            <w:pPr>
              <w:snapToGrid w:val="0"/>
              <w:spacing w:line="288" w:lineRule="auto"/>
              <w:jc w:val="left"/>
              <w:rPr>
                <w:rFonts w:ascii="宋体" w:hAnsi="宋体"/>
                <w:color w:val="000000"/>
                <w:sz w:val="20"/>
                <w:szCs w:val="20"/>
              </w:rPr>
            </w:pPr>
            <w:r>
              <w:rPr>
                <w:rFonts w:hint="eastAsia" w:ascii="宋体" w:hAnsi="宋体"/>
                <w:color w:val="000000"/>
                <w:sz w:val="20"/>
                <w:szCs w:val="20"/>
              </w:rPr>
              <w:t>2.能按正确的操作规程对逝者进行尸体料理。</w:t>
            </w:r>
          </w:p>
          <w:p>
            <w:pPr>
              <w:snapToGrid w:val="0"/>
              <w:spacing w:line="288" w:lineRule="auto"/>
              <w:jc w:val="left"/>
              <w:rPr>
                <w:rFonts w:ascii="宋体" w:hAnsi="宋体"/>
                <w:color w:val="000000"/>
                <w:sz w:val="20"/>
                <w:szCs w:val="20"/>
              </w:rPr>
            </w:pPr>
            <w:r>
              <w:rPr>
                <w:rFonts w:hint="eastAsia" w:ascii="宋体" w:hAnsi="宋体"/>
                <w:color w:val="000000"/>
                <w:sz w:val="20"/>
                <w:szCs w:val="20"/>
              </w:rPr>
              <w:t>3.能应用适当的护理措施对处于居丧期的家属进</w:t>
            </w:r>
          </w:p>
          <w:p>
            <w:pPr>
              <w:snapToGrid w:val="0"/>
              <w:spacing w:line="288" w:lineRule="auto"/>
              <w:jc w:val="left"/>
              <w:rPr>
                <w:rFonts w:ascii="宋体" w:hAnsi="宋体"/>
                <w:color w:val="000000"/>
                <w:sz w:val="20"/>
                <w:szCs w:val="20"/>
              </w:rPr>
            </w:pPr>
            <w:r>
              <w:rPr>
                <w:rFonts w:hint="eastAsia" w:ascii="宋体" w:hAnsi="宋体"/>
                <w:color w:val="000000"/>
                <w:sz w:val="20"/>
                <w:szCs w:val="20"/>
              </w:rPr>
              <w:t>行护理。</w:t>
            </w:r>
          </w:p>
        </w:tc>
        <w:tc>
          <w:tcPr>
            <w:tcW w:w="1312"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1.具有严谨求实的工作作风和对病人高度负责的工作态度。</w:t>
            </w:r>
          </w:p>
          <w:p>
            <w:pPr>
              <w:snapToGrid w:val="0"/>
              <w:spacing w:line="288" w:lineRule="auto"/>
              <w:jc w:val="left"/>
              <w:rPr>
                <w:rFonts w:ascii="宋体" w:hAnsi="宋体"/>
                <w:color w:val="000000"/>
                <w:sz w:val="20"/>
                <w:szCs w:val="20"/>
              </w:rPr>
            </w:pPr>
            <w:r>
              <w:rPr>
                <w:rFonts w:hint="eastAsia" w:ascii="宋体" w:hAnsi="宋体"/>
                <w:color w:val="000000"/>
                <w:sz w:val="20"/>
                <w:szCs w:val="20"/>
              </w:rPr>
              <w:t>2.尊重、关心和体谅病人。</w:t>
            </w:r>
          </w:p>
          <w:p>
            <w:pPr>
              <w:snapToGrid w:val="0"/>
              <w:spacing w:line="288" w:lineRule="auto"/>
              <w:jc w:val="left"/>
              <w:rPr>
                <w:rFonts w:ascii="宋体" w:hAnsi="宋体"/>
                <w:color w:val="000000"/>
                <w:sz w:val="20"/>
                <w:szCs w:val="20"/>
              </w:rPr>
            </w:pPr>
          </w:p>
        </w:tc>
        <w:tc>
          <w:tcPr>
            <w:tcW w:w="1312"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1.临终病人的护理原则</w:t>
            </w:r>
          </w:p>
          <w:p>
            <w:pPr>
              <w:snapToGrid w:val="0"/>
              <w:spacing w:line="288" w:lineRule="auto"/>
              <w:jc w:val="left"/>
              <w:rPr>
                <w:rFonts w:ascii="宋体" w:hAnsi="宋体"/>
                <w:color w:val="000000"/>
                <w:sz w:val="20"/>
                <w:szCs w:val="20"/>
              </w:rPr>
            </w:pPr>
            <w:r>
              <w:rPr>
                <w:rFonts w:hint="eastAsia" w:ascii="宋体" w:hAnsi="宋体"/>
                <w:color w:val="000000"/>
                <w:sz w:val="20"/>
                <w:szCs w:val="20"/>
              </w:rPr>
              <w:t>2.临终病人的各个心理反应期</w:t>
            </w:r>
          </w:p>
        </w:tc>
        <w:tc>
          <w:tcPr>
            <w:tcW w:w="344"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2</w:t>
            </w:r>
          </w:p>
        </w:tc>
        <w:tc>
          <w:tcPr>
            <w:tcW w:w="440"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2</w:t>
            </w:r>
          </w:p>
        </w:tc>
        <w:tc>
          <w:tcPr>
            <w:tcW w:w="418" w:type="dxa"/>
          </w:tcPr>
          <w:p>
            <w:pPr>
              <w:snapToGrid w:val="0"/>
              <w:spacing w:line="288" w:lineRule="auto"/>
              <w:jc w:val="left"/>
              <w:rPr>
                <w:rFonts w:ascii="宋体" w:hAnsi="宋体"/>
                <w:color w:val="000000"/>
                <w:sz w:val="20"/>
                <w:szCs w:val="20"/>
              </w:rPr>
            </w:pPr>
            <w:r>
              <w:rPr>
                <w:rFonts w:hint="eastAsia" w:ascii="宋体" w:hAnsi="宋体"/>
                <w:color w:val="000000"/>
                <w:sz w:val="20"/>
                <w:szCs w:val="20"/>
              </w:rPr>
              <w:t>4</w:t>
            </w:r>
          </w:p>
        </w:tc>
      </w:tr>
    </w:tbl>
    <w:p>
      <w:pPr>
        <w:snapToGrid w:val="0"/>
        <w:spacing w:line="288" w:lineRule="auto"/>
        <w:ind w:right="26"/>
        <w:rPr>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七、课内实验名称及基本要求</w:t>
      </w:r>
    </w:p>
    <w:tbl>
      <w:tblPr>
        <w:tblStyle w:val="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330"/>
        <w:gridCol w:w="3215"/>
        <w:gridCol w:w="759"/>
        <w:gridCol w:w="1062"/>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序号</w:t>
            </w:r>
          </w:p>
        </w:tc>
        <w:tc>
          <w:tcPr>
            <w:tcW w:w="23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实验名称</w:t>
            </w:r>
          </w:p>
        </w:tc>
        <w:tc>
          <w:tcPr>
            <w:tcW w:w="321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主要内容</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062"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999"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1</w:t>
            </w:r>
          </w:p>
        </w:tc>
        <w:tc>
          <w:tcPr>
            <w:tcW w:w="23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冷、热疗法的应用</w:t>
            </w:r>
          </w:p>
        </w:tc>
        <w:tc>
          <w:tcPr>
            <w:tcW w:w="321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rPr>
                <w:rFonts w:ascii="宋体" w:hAnsi="宋体"/>
                <w:color w:val="000000"/>
                <w:sz w:val="20"/>
                <w:szCs w:val="20"/>
              </w:rPr>
            </w:pPr>
            <w:r>
              <w:rPr>
                <w:rFonts w:hint="eastAsia" w:ascii="宋体" w:hAnsi="宋体"/>
                <w:color w:val="000000"/>
                <w:sz w:val="20"/>
                <w:szCs w:val="20"/>
              </w:rPr>
              <w:t>冰袋、热水袋的使用、温水/乙醇拭浴</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2</w:t>
            </w:r>
          </w:p>
        </w:tc>
        <w:tc>
          <w:tcPr>
            <w:tcW w:w="1062" w:type="dxa"/>
            <w:tcBorders>
              <w:left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综合型</w:t>
            </w:r>
          </w:p>
        </w:tc>
        <w:tc>
          <w:tcPr>
            <w:tcW w:w="999" w:type="dxa"/>
            <w:tcBorders>
              <w:left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2</w:t>
            </w:r>
          </w:p>
        </w:tc>
        <w:tc>
          <w:tcPr>
            <w:tcW w:w="23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特殊饮食护理</w:t>
            </w:r>
          </w:p>
        </w:tc>
        <w:tc>
          <w:tcPr>
            <w:tcW w:w="321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rPr>
                <w:rFonts w:ascii="宋体" w:hAnsi="宋体"/>
                <w:color w:val="000000"/>
                <w:sz w:val="20"/>
                <w:szCs w:val="20"/>
              </w:rPr>
            </w:pPr>
            <w:r>
              <w:rPr>
                <w:rFonts w:hint="eastAsia" w:ascii="宋体" w:hAnsi="宋体"/>
                <w:color w:val="000000"/>
                <w:sz w:val="20"/>
                <w:szCs w:val="20"/>
              </w:rPr>
              <w:t>鼻饲法</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4</w:t>
            </w:r>
          </w:p>
        </w:tc>
        <w:tc>
          <w:tcPr>
            <w:tcW w:w="1062" w:type="dxa"/>
            <w:tcBorders>
              <w:left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综合型</w:t>
            </w:r>
          </w:p>
        </w:tc>
        <w:tc>
          <w:tcPr>
            <w:tcW w:w="999" w:type="dxa"/>
            <w:tcBorders>
              <w:left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3</w:t>
            </w:r>
          </w:p>
        </w:tc>
        <w:tc>
          <w:tcPr>
            <w:tcW w:w="23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与排尿有关的护理技术</w:t>
            </w:r>
          </w:p>
        </w:tc>
        <w:tc>
          <w:tcPr>
            <w:tcW w:w="321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rPr>
                <w:rFonts w:ascii="宋体" w:hAnsi="宋体"/>
                <w:color w:val="000000"/>
                <w:sz w:val="20"/>
                <w:szCs w:val="20"/>
              </w:rPr>
            </w:pPr>
            <w:r>
              <w:rPr>
                <w:rFonts w:hint="eastAsia" w:ascii="宋体" w:hAnsi="宋体"/>
                <w:color w:val="000000"/>
                <w:sz w:val="20"/>
                <w:szCs w:val="20"/>
              </w:rPr>
              <w:t>导尿术、留置导尿管术</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8</w:t>
            </w:r>
          </w:p>
        </w:tc>
        <w:tc>
          <w:tcPr>
            <w:tcW w:w="1062" w:type="dxa"/>
            <w:tcBorders>
              <w:left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综合型</w:t>
            </w:r>
          </w:p>
        </w:tc>
        <w:tc>
          <w:tcPr>
            <w:tcW w:w="999" w:type="dxa"/>
            <w:tcBorders>
              <w:left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4</w:t>
            </w:r>
          </w:p>
        </w:tc>
        <w:tc>
          <w:tcPr>
            <w:tcW w:w="23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与排便有关的护理技术</w:t>
            </w:r>
          </w:p>
        </w:tc>
        <w:tc>
          <w:tcPr>
            <w:tcW w:w="321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rPr>
                <w:rFonts w:ascii="宋体" w:hAnsi="宋体"/>
                <w:color w:val="000000"/>
                <w:sz w:val="20"/>
                <w:szCs w:val="20"/>
              </w:rPr>
            </w:pPr>
            <w:r>
              <w:rPr>
                <w:rFonts w:hint="eastAsia" w:ascii="宋体" w:hAnsi="宋体"/>
                <w:color w:val="000000"/>
                <w:sz w:val="20"/>
                <w:szCs w:val="20"/>
              </w:rPr>
              <w:t>大量不保留灌肠、小量不保留灌肠、保留灌肠、肛管排气法</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4</w:t>
            </w:r>
          </w:p>
        </w:tc>
        <w:tc>
          <w:tcPr>
            <w:tcW w:w="1062" w:type="dxa"/>
            <w:tcBorders>
              <w:left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综合型</w:t>
            </w:r>
          </w:p>
        </w:tc>
        <w:tc>
          <w:tcPr>
            <w:tcW w:w="999" w:type="dxa"/>
            <w:tcBorders>
              <w:left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5</w:t>
            </w:r>
          </w:p>
        </w:tc>
        <w:tc>
          <w:tcPr>
            <w:tcW w:w="23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注射给药</w:t>
            </w:r>
          </w:p>
        </w:tc>
        <w:tc>
          <w:tcPr>
            <w:tcW w:w="321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rPr>
                <w:rFonts w:ascii="宋体" w:hAnsi="宋体"/>
                <w:color w:val="000000"/>
                <w:sz w:val="20"/>
                <w:szCs w:val="20"/>
              </w:rPr>
            </w:pPr>
            <w:r>
              <w:rPr>
                <w:rFonts w:hint="eastAsia" w:ascii="宋体" w:hAnsi="宋体"/>
                <w:color w:val="000000"/>
                <w:sz w:val="20"/>
                <w:szCs w:val="20"/>
              </w:rPr>
              <w:t>抽吸药液、皮内注射、皮下注射、肌内注射、静脉注射</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6</w:t>
            </w:r>
          </w:p>
        </w:tc>
        <w:tc>
          <w:tcPr>
            <w:tcW w:w="1062" w:type="dxa"/>
            <w:tcBorders>
              <w:left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综合型</w:t>
            </w:r>
          </w:p>
        </w:tc>
        <w:tc>
          <w:tcPr>
            <w:tcW w:w="999" w:type="dxa"/>
            <w:tcBorders>
              <w:left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6</w:t>
            </w:r>
          </w:p>
        </w:tc>
        <w:tc>
          <w:tcPr>
            <w:tcW w:w="23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雾化吸入</w:t>
            </w:r>
          </w:p>
        </w:tc>
        <w:tc>
          <w:tcPr>
            <w:tcW w:w="321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rPr>
                <w:rFonts w:ascii="宋体" w:hAnsi="宋体"/>
                <w:color w:val="000000"/>
                <w:sz w:val="20"/>
                <w:szCs w:val="20"/>
              </w:rPr>
            </w:pPr>
            <w:r>
              <w:rPr>
                <w:rFonts w:hint="eastAsia" w:ascii="宋体" w:hAnsi="宋体"/>
                <w:color w:val="000000"/>
                <w:sz w:val="20"/>
                <w:szCs w:val="20"/>
              </w:rPr>
              <w:t>超声波雾化吸入法、氧气雾化吸入法、手压式雾化器雾化吸入法</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2</w:t>
            </w:r>
          </w:p>
        </w:tc>
        <w:tc>
          <w:tcPr>
            <w:tcW w:w="1062" w:type="dxa"/>
            <w:tcBorders>
              <w:left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综合型</w:t>
            </w:r>
          </w:p>
        </w:tc>
        <w:tc>
          <w:tcPr>
            <w:tcW w:w="999" w:type="dxa"/>
            <w:tcBorders>
              <w:left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7</w:t>
            </w:r>
          </w:p>
        </w:tc>
        <w:tc>
          <w:tcPr>
            <w:tcW w:w="23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皮试液配制</w:t>
            </w:r>
          </w:p>
        </w:tc>
        <w:tc>
          <w:tcPr>
            <w:tcW w:w="321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rPr>
                <w:rFonts w:ascii="宋体" w:hAnsi="宋体"/>
                <w:color w:val="000000"/>
                <w:sz w:val="20"/>
                <w:szCs w:val="20"/>
              </w:rPr>
            </w:pPr>
            <w:r>
              <w:rPr>
                <w:rFonts w:hint="eastAsia" w:ascii="宋体" w:hAnsi="宋体"/>
                <w:color w:val="000000"/>
                <w:sz w:val="20"/>
                <w:szCs w:val="20"/>
              </w:rPr>
              <w:t>青霉素、头孢菌素、破伤风抗毒素、普鲁卡因、链霉素皮试液的配制</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2</w:t>
            </w:r>
          </w:p>
        </w:tc>
        <w:tc>
          <w:tcPr>
            <w:tcW w:w="1062" w:type="dxa"/>
            <w:tcBorders>
              <w:left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综合型</w:t>
            </w:r>
          </w:p>
        </w:tc>
        <w:tc>
          <w:tcPr>
            <w:tcW w:w="999" w:type="dxa"/>
            <w:tcBorders>
              <w:left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8</w:t>
            </w:r>
          </w:p>
        </w:tc>
        <w:tc>
          <w:tcPr>
            <w:tcW w:w="23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静脉输液与输血</w:t>
            </w:r>
          </w:p>
        </w:tc>
        <w:tc>
          <w:tcPr>
            <w:tcW w:w="321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rPr>
                <w:rFonts w:ascii="宋体" w:hAnsi="宋体"/>
                <w:color w:val="000000"/>
                <w:sz w:val="20"/>
                <w:szCs w:val="20"/>
              </w:rPr>
            </w:pPr>
            <w:r>
              <w:rPr>
                <w:rFonts w:hint="eastAsia" w:ascii="宋体" w:hAnsi="宋体"/>
                <w:color w:val="000000"/>
                <w:sz w:val="20"/>
                <w:szCs w:val="20"/>
              </w:rPr>
              <w:t>密闭式周围静脉输液、密闭式输血</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10</w:t>
            </w:r>
          </w:p>
        </w:tc>
        <w:tc>
          <w:tcPr>
            <w:tcW w:w="1062" w:type="dxa"/>
            <w:tcBorders>
              <w:left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综合型</w:t>
            </w:r>
          </w:p>
        </w:tc>
        <w:tc>
          <w:tcPr>
            <w:tcW w:w="999" w:type="dxa"/>
            <w:tcBorders>
              <w:left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9</w:t>
            </w:r>
          </w:p>
        </w:tc>
        <w:tc>
          <w:tcPr>
            <w:tcW w:w="23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标本采集</w:t>
            </w:r>
          </w:p>
        </w:tc>
        <w:tc>
          <w:tcPr>
            <w:tcW w:w="321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rPr>
                <w:rFonts w:ascii="宋体" w:hAnsi="宋体"/>
                <w:color w:val="000000"/>
                <w:sz w:val="20"/>
                <w:szCs w:val="20"/>
              </w:rPr>
            </w:pPr>
            <w:r>
              <w:rPr>
                <w:rFonts w:hint="eastAsia" w:ascii="宋体" w:hAnsi="宋体"/>
                <w:color w:val="000000"/>
                <w:sz w:val="20"/>
                <w:szCs w:val="20"/>
              </w:rPr>
              <w:t>血液标本采集、尿液标本采集、粪便标本采集、痰液标本采集、咽拭子标本采集</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4</w:t>
            </w:r>
          </w:p>
        </w:tc>
        <w:tc>
          <w:tcPr>
            <w:tcW w:w="1062" w:type="dxa"/>
            <w:tcBorders>
              <w:left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综合型</w:t>
            </w:r>
          </w:p>
        </w:tc>
        <w:tc>
          <w:tcPr>
            <w:tcW w:w="999" w:type="dxa"/>
            <w:tcBorders>
              <w:left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10</w:t>
            </w:r>
          </w:p>
        </w:tc>
        <w:tc>
          <w:tcPr>
            <w:tcW w:w="23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常用急救技术</w:t>
            </w:r>
          </w:p>
        </w:tc>
        <w:tc>
          <w:tcPr>
            <w:tcW w:w="321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rPr>
                <w:rFonts w:ascii="宋体" w:hAnsi="宋体"/>
                <w:color w:val="000000"/>
                <w:sz w:val="20"/>
                <w:szCs w:val="20"/>
              </w:rPr>
            </w:pPr>
            <w:r>
              <w:rPr>
                <w:rFonts w:hint="eastAsia" w:ascii="宋体" w:hAnsi="宋体"/>
                <w:color w:val="000000"/>
                <w:sz w:val="20"/>
                <w:szCs w:val="20"/>
              </w:rPr>
              <w:t>洗胃法、人工呼吸器的使用</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4</w:t>
            </w:r>
          </w:p>
        </w:tc>
        <w:tc>
          <w:tcPr>
            <w:tcW w:w="1062" w:type="dxa"/>
            <w:tcBorders>
              <w:left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综合型</w:t>
            </w:r>
          </w:p>
        </w:tc>
        <w:tc>
          <w:tcPr>
            <w:tcW w:w="999" w:type="dxa"/>
            <w:tcBorders>
              <w:left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11</w:t>
            </w:r>
          </w:p>
        </w:tc>
        <w:tc>
          <w:tcPr>
            <w:tcW w:w="23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死亡后护理</w:t>
            </w:r>
          </w:p>
        </w:tc>
        <w:tc>
          <w:tcPr>
            <w:tcW w:w="321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rPr>
                <w:rFonts w:ascii="宋体" w:hAnsi="宋体"/>
                <w:color w:val="000000"/>
                <w:sz w:val="20"/>
                <w:szCs w:val="20"/>
              </w:rPr>
            </w:pPr>
            <w:r>
              <w:rPr>
                <w:rFonts w:hint="eastAsia" w:ascii="宋体" w:hAnsi="宋体"/>
                <w:color w:val="000000"/>
                <w:sz w:val="20"/>
                <w:szCs w:val="20"/>
              </w:rPr>
              <w:t>尸体护理、丧亲者护理</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2</w:t>
            </w:r>
          </w:p>
        </w:tc>
        <w:tc>
          <w:tcPr>
            <w:tcW w:w="1062" w:type="dxa"/>
            <w:tcBorders>
              <w:left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r>
              <w:rPr>
                <w:rFonts w:hint="eastAsia" w:ascii="宋体" w:hAnsi="宋体"/>
                <w:color w:val="000000"/>
                <w:sz w:val="20"/>
                <w:szCs w:val="20"/>
              </w:rPr>
              <w:t>综合型</w:t>
            </w:r>
          </w:p>
        </w:tc>
        <w:tc>
          <w:tcPr>
            <w:tcW w:w="999" w:type="dxa"/>
            <w:tcBorders>
              <w:left w:val="single" w:color="auto" w:sz="4" w:space="0"/>
              <w:right w:val="single" w:color="auto" w:sz="4" w:space="0"/>
            </w:tcBorders>
            <w:shd w:val="clear" w:color="auto" w:fill="auto"/>
            <w:vAlign w:val="center"/>
          </w:tcPr>
          <w:p>
            <w:pPr>
              <w:snapToGrid w:val="0"/>
              <w:spacing w:line="288" w:lineRule="auto"/>
              <w:jc w:val="center"/>
              <w:rPr>
                <w:rFonts w:ascii="宋体" w:hAnsi="宋体"/>
                <w:color w:val="000000"/>
                <w:sz w:val="20"/>
                <w:szCs w:val="20"/>
              </w:rPr>
            </w:pPr>
          </w:p>
        </w:tc>
      </w:tr>
    </w:tbl>
    <w:p>
      <w:pPr>
        <w:snapToGrid w:val="0"/>
        <w:spacing w:line="288" w:lineRule="auto"/>
        <w:ind w:right="2520" w:firstLine="480" w:firstLineChars="200"/>
        <w:rPr>
          <w:rFonts w:ascii="黑体" w:hAnsi="宋体" w:eastAsia="黑体"/>
          <w:sz w:val="24"/>
        </w:rPr>
      </w:pPr>
    </w:p>
    <w:p>
      <w:pPr>
        <w:snapToGrid w:val="0"/>
        <w:spacing w:line="288" w:lineRule="auto"/>
        <w:ind w:right="2520" w:firstLine="480" w:firstLineChars="200"/>
        <w:rPr>
          <w:rFonts w:ascii="黑体" w:hAnsi="宋体" w:eastAsia="黑体"/>
          <w:sz w:val="24"/>
        </w:rPr>
      </w:pPr>
      <w:r>
        <w:rPr>
          <w:rFonts w:hint="eastAsia" w:ascii="黑体" w:hAnsi="宋体" w:eastAsia="黑体"/>
          <w:sz w:val="24"/>
        </w:rPr>
        <w:t>八、评价方式与成绩</w:t>
      </w:r>
    </w:p>
    <w:tbl>
      <w:tblPr>
        <w:tblStyle w:val="4"/>
        <w:tblpPr w:leftFromText="180" w:rightFromText="180" w:vertAnchor="text" w:horzAnchor="page" w:tblpX="1871" w:tblpY="299"/>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ascii="宋体" w:hAnsi="宋体"/>
                <w:sz w:val="20"/>
                <w:szCs w:val="20"/>
              </w:rPr>
              <w:t>期</w:t>
            </w:r>
            <w:r>
              <w:rPr>
                <w:rFonts w:hint="eastAsia" w:ascii="宋体" w:hAnsi="宋体"/>
                <w:sz w:val="20"/>
                <w:szCs w:val="20"/>
              </w:rPr>
              <w:t>末</w:t>
            </w:r>
            <w:r>
              <w:rPr>
                <w:rFonts w:ascii="宋体" w:hAnsi="宋体"/>
                <w:sz w:val="20"/>
                <w:szCs w:val="20"/>
              </w:rPr>
              <w:t>闭卷</w:t>
            </w:r>
            <w:r>
              <w:rPr>
                <w:rFonts w:hint="eastAsia" w:ascii="宋体" w:hAnsi="宋体"/>
                <w:sz w:val="20"/>
                <w:szCs w:val="20"/>
              </w:rPr>
              <w:t>考试</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sz w:val="20"/>
                <w:szCs w:val="20"/>
              </w:rPr>
              <w:t>课堂小测验</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sz w:val="20"/>
                <w:szCs w:val="20"/>
              </w:rPr>
              <w:t>实训报告</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sz w:val="28"/>
                <w:szCs w:val="28"/>
              </w:rPr>
              <w:drawing>
                <wp:anchor distT="0" distB="0" distL="114300" distR="114300" simplePos="0" relativeHeight="251660288" behindDoc="1" locked="0" layoutInCell="1" allowOverlap="1">
                  <wp:simplePos x="0" y="0"/>
                  <wp:positionH relativeFrom="column">
                    <wp:posOffset>555625</wp:posOffset>
                  </wp:positionH>
                  <wp:positionV relativeFrom="paragraph">
                    <wp:posOffset>333375</wp:posOffset>
                  </wp:positionV>
                  <wp:extent cx="730250" cy="975360"/>
                  <wp:effectExtent l="114300" t="0" r="107950" b="0"/>
                  <wp:wrapNone/>
                  <wp:docPr id="1" name="图片 1" descr="E:\詹文娴\工作资料\个人资料\詹文娴\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詹文娴\工作资料\个人资料\詹文娴\电子签名.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rot="16200000">
                            <a:off x="0" y="0"/>
                            <a:ext cx="730250" cy="975360"/>
                          </a:xfrm>
                          <a:prstGeom prst="rect">
                            <a:avLst/>
                          </a:prstGeom>
                          <a:noFill/>
                          <a:ln>
                            <a:noFill/>
                          </a:ln>
                        </pic:spPr>
                      </pic:pic>
                    </a:graphicData>
                  </a:graphic>
                </wp:anchor>
              </w:drawing>
            </w: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操作考试</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20%</w:t>
            </w:r>
          </w:p>
        </w:tc>
      </w:tr>
    </w:tbl>
    <w:p>
      <w:pPr>
        <w:snapToGrid w:val="0"/>
        <w:spacing w:before="120" w:after="120" w:line="288" w:lineRule="auto"/>
        <w:ind w:firstLine="560" w:firstLineChars="200"/>
        <w:rPr>
          <w:rFonts w:ascii="宋体" w:hAnsi="宋体"/>
          <w:sz w:val="20"/>
          <w:szCs w:val="20"/>
          <w:highlight w:val="yellow"/>
        </w:rPr>
      </w:pPr>
      <w:r>
        <w:rPr>
          <w:rFonts w:hint="eastAsia"/>
          <w:sz w:val="28"/>
          <w:szCs w:val="28"/>
        </w:rPr>
        <w:drawing>
          <wp:anchor distT="0" distB="0" distL="114300" distR="114300" simplePos="0" relativeHeight="251662336" behindDoc="1" locked="0" layoutInCell="1" allowOverlap="1">
            <wp:simplePos x="0" y="0"/>
            <wp:positionH relativeFrom="column">
              <wp:posOffset>4208780</wp:posOffset>
            </wp:positionH>
            <wp:positionV relativeFrom="paragraph">
              <wp:posOffset>2306955</wp:posOffset>
            </wp:positionV>
            <wp:extent cx="1254125" cy="471805"/>
            <wp:effectExtent l="0" t="0" r="0" b="0"/>
            <wp:wrapNone/>
            <wp:docPr id="2" name="图片 2" descr="b73c5bbf66d1d6d88c9fd91ef193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73c5bbf66d1d6d88c9fd91ef193e22"/>
                    <pic:cNvPicPr>
                      <a:picLocks noChangeAspect="1"/>
                    </pic:cNvPicPr>
                  </pic:nvPicPr>
                  <pic:blipFill>
                    <a:blip r:embed="rId5"/>
                    <a:stretch>
                      <a:fillRect/>
                    </a:stretch>
                  </pic:blipFill>
                  <pic:spPr>
                    <a:xfrm>
                      <a:off x="0" y="0"/>
                      <a:ext cx="1254125" cy="471805"/>
                    </a:xfrm>
                    <a:prstGeom prst="rect">
                      <a:avLst/>
                    </a:prstGeom>
                  </pic:spPr>
                </pic:pic>
              </a:graphicData>
            </a:graphic>
          </wp:anchor>
        </w:drawing>
      </w:r>
    </w:p>
    <w:p>
      <w:pPr>
        <w:snapToGrid w:val="0"/>
        <w:spacing w:line="288" w:lineRule="auto"/>
        <w:rPr>
          <w:sz w:val="28"/>
          <w:szCs w:val="28"/>
        </w:rPr>
      </w:pPr>
      <w:r>
        <w:rPr>
          <w:rFonts w:hint="eastAsia"/>
          <w:sz w:val="28"/>
          <w:szCs w:val="28"/>
        </w:rPr>
        <w:t>撰写人：                         系主任审核签名：</w:t>
      </w:r>
    </w:p>
    <w:p>
      <w:pPr>
        <w:snapToGrid w:val="0"/>
        <w:spacing w:line="288" w:lineRule="auto"/>
        <w:rPr>
          <w:sz w:val="28"/>
          <w:szCs w:val="28"/>
        </w:rPr>
      </w:pPr>
      <w:r>
        <w:rPr>
          <w:rFonts w:hint="eastAsia"/>
          <w:sz w:val="28"/>
          <w:szCs w:val="28"/>
        </w:rPr>
        <w:t xml:space="preserve">审核时间：2021年9月1日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1072BC"/>
    <w:rsid w:val="00151AD6"/>
    <w:rsid w:val="00197502"/>
    <w:rsid w:val="00256B39"/>
    <w:rsid w:val="0026033C"/>
    <w:rsid w:val="002E3721"/>
    <w:rsid w:val="00313BBA"/>
    <w:rsid w:val="0032602E"/>
    <w:rsid w:val="003367AE"/>
    <w:rsid w:val="0036372E"/>
    <w:rsid w:val="003B1258"/>
    <w:rsid w:val="004100B0"/>
    <w:rsid w:val="0049206D"/>
    <w:rsid w:val="004E5D34"/>
    <w:rsid w:val="0050032A"/>
    <w:rsid w:val="005467DC"/>
    <w:rsid w:val="00553D03"/>
    <w:rsid w:val="005B2B6D"/>
    <w:rsid w:val="005B2C6E"/>
    <w:rsid w:val="005B4B4E"/>
    <w:rsid w:val="00624FE1"/>
    <w:rsid w:val="00631352"/>
    <w:rsid w:val="007208D6"/>
    <w:rsid w:val="007C1A26"/>
    <w:rsid w:val="008075C7"/>
    <w:rsid w:val="008B397C"/>
    <w:rsid w:val="008B47F4"/>
    <w:rsid w:val="00900019"/>
    <w:rsid w:val="0099063E"/>
    <w:rsid w:val="009E4816"/>
    <w:rsid w:val="00A35633"/>
    <w:rsid w:val="00A43D7C"/>
    <w:rsid w:val="00A769B1"/>
    <w:rsid w:val="00A82483"/>
    <w:rsid w:val="00A837D5"/>
    <w:rsid w:val="00AC4C45"/>
    <w:rsid w:val="00B46F21"/>
    <w:rsid w:val="00B511A5"/>
    <w:rsid w:val="00B736A7"/>
    <w:rsid w:val="00B7651F"/>
    <w:rsid w:val="00BB2AD2"/>
    <w:rsid w:val="00BB4EAF"/>
    <w:rsid w:val="00C56E09"/>
    <w:rsid w:val="00CF096B"/>
    <w:rsid w:val="00E16D30"/>
    <w:rsid w:val="00E33169"/>
    <w:rsid w:val="00E70904"/>
    <w:rsid w:val="00EB6B6A"/>
    <w:rsid w:val="00EF44B1"/>
    <w:rsid w:val="00F35AA0"/>
    <w:rsid w:val="00F43A00"/>
    <w:rsid w:val="00FC3E78"/>
    <w:rsid w:val="01231DAC"/>
    <w:rsid w:val="01625047"/>
    <w:rsid w:val="01667474"/>
    <w:rsid w:val="016E63C2"/>
    <w:rsid w:val="01727B94"/>
    <w:rsid w:val="017A0917"/>
    <w:rsid w:val="01971B39"/>
    <w:rsid w:val="019D53D3"/>
    <w:rsid w:val="01C42224"/>
    <w:rsid w:val="020D1098"/>
    <w:rsid w:val="02110665"/>
    <w:rsid w:val="02283E26"/>
    <w:rsid w:val="022A709B"/>
    <w:rsid w:val="022F1507"/>
    <w:rsid w:val="024A0E42"/>
    <w:rsid w:val="024B0C39"/>
    <w:rsid w:val="02B12FF3"/>
    <w:rsid w:val="02D61489"/>
    <w:rsid w:val="02DE588D"/>
    <w:rsid w:val="02EE5BC0"/>
    <w:rsid w:val="03125AFA"/>
    <w:rsid w:val="031A25E6"/>
    <w:rsid w:val="03217FED"/>
    <w:rsid w:val="03293A42"/>
    <w:rsid w:val="03422622"/>
    <w:rsid w:val="03440793"/>
    <w:rsid w:val="03497F22"/>
    <w:rsid w:val="034B1CBD"/>
    <w:rsid w:val="0365667A"/>
    <w:rsid w:val="03694906"/>
    <w:rsid w:val="03807341"/>
    <w:rsid w:val="03B32884"/>
    <w:rsid w:val="040A75BF"/>
    <w:rsid w:val="04231D14"/>
    <w:rsid w:val="0433169F"/>
    <w:rsid w:val="04761496"/>
    <w:rsid w:val="04A174C8"/>
    <w:rsid w:val="04C2254D"/>
    <w:rsid w:val="04E0453C"/>
    <w:rsid w:val="04E52439"/>
    <w:rsid w:val="04E60909"/>
    <w:rsid w:val="05117402"/>
    <w:rsid w:val="05194290"/>
    <w:rsid w:val="055A3B03"/>
    <w:rsid w:val="05691E82"/>
    <w:rsid w:val="05C8461C"/>
    <w:rsid w:val="05D12214"/>
    <w:rsid w:val="05F00F5E"/>
    <w:rsid w:val="067462BA"/>
    <w:rsid w:val="06807C5C"/>
    <w:rsid w:val="068425C2"/>
    <w:rsid w:val="06A71625"/>
    <w:rsid w:val="06B74A29"/>
    <w:rsid w:val="06BE567E"/>
    <w:rsid w:val="06EF5702"/>
    <w:rsid w:val="07444E34"/>
    <w:rsid w:val="0753027B"/>
    <w:rsid w:val="077867DE"/>
    <w:rsid w:val="07B6221F"/>
    <w:rsid w:val="07C21B82"/>
    <w:rsid w:val="07C67109"/>
    <w:rsid w:val="07F56DAD"/>
    <w:rsid w:val="07FD7098"/>
    <w:rsid w:val="08114077"/>
    <w:rsid w:val="081D27EC"/>
    <w:rsid w:val="08220A5C"/>
    <w:rsid w:val="08647484"/>
    <w:rsid w:val="08716DC3"/>
    <w:rsid w:val="08846442"/>
    <w:rsid w:val="08866EF7"/>
    <w:rsid w:val="08981AF2"/>
    <w:rsid w:val="08B03B91"/>
    <w:rsid w:val="08B6741D"/>
    <w:rsid w:val="08F539CE"/>
    <w:rsid w:val="093F6771"/>
    <w:rsid w:val="094477E2"/>
    <w:rsid w:val="097202B1"/>
    <w:rsid w:val="09B41789"/>
    <w:rsid w:val="09D257E7"/>
    <w:rsid w:val="09DB18EE"/>
    <w:rsid w:val="09DF4F7C"/>
    <w:rsid w:val="09DF732F"/>
    <w:rsid w:val="0A0C3D4E"/>
    <w:rsid w:val="0A0C6139"/>
    <w:rsid w:val="0A0F4366"/>
    <w:rsid w:val="0A156A99"/>
    <w:rsid w:val="0A30077D"/>
    <w:rsid w:val="0A404A4C"/>
    <w:rsid w:val="0A4849C6"/>
    <w:rsid w:val="0A514AE1"/>
    <w:rsid w:val="0A520011"/>
    <w:rsid w:val="0A52306E"/>
    <w:rsid w:val="0A6A3B9C"/>
    <w:rsid w:val="0A7F04BA"/>
    <w:rsid w:val="0A8128A6"/>
    <w:rsid w:val="0A8E2F38"/>
    <w:rsid w:val="0AAF3780"/>
    <w:rsid w:val="0AF26C16"/>
    <w:rsid w:val="0B091B9C"/>
    <w:rsid w:val="0B834628"/>
    <w:rsid w:val="0BC0627E"/>
    <w:rsid w:val="0BF32A1B"/>
    <w:rsid w:val="0BFB7DC7"/>
    <w:rsid w:val="0BFF3AF7"/>
    <w:rsid w:val="0C0128AF"/>
    <w:rsid w:val="0C0817DC"/>
    <w:rsid w:val="0C14357A"/>
    <w:rsid w:val="0C2D0D30"/>
    <w:rsid w:val="0C3C573B"/>
    <w:rsid w:val="0C5B2C29"/>
    <w:rsid w:val="0C69598C"/>
    <w:rsid w:val="0C757ABF"/>
    <w:rsid w:val="0C9A3F2E"/>
    <w:rsid w:val="0CB82BF2"/>
    <w:rsid w:val="0CEA7342"/>
    <w:rsid w:val="0CEF5A77"/>
    <w:rsid w:val="0D1A23EA"/>
    <w:rsid w:val="0D1C35B3"/>
    <w:rsid w:val="0D413F10"/>
    <w:rsid w:val="0D747E41"/>
    <w:rsid w:val="0D7B10A8"/>
    <w:rsid w:val="0D7F4BEE"/>
    <w:rsid w:val="0D846650"/>
    <w:rsid w:val="0D930BE2"/>
    <w:rsid w:val="0D966197"/>
    <w:rsid w:val="0DA74D11"/>
    <w:rsid w:val="0DA81AD9"/>
    <w:rsid w:val="0DAE3601"/>
    <w:rsid w:val="0DF50AB4"/>
    <w:rsid w:val="0E1E67E1"/>
    <w:rsid w:val="0E1F4E68"/>
    <w:rsid w:val="0E3124E9"/>
    <w:rsid w:val="0E3677EF"/>
    <w:rsid w:val="0E3B40D3"/>
    <w:rsid w:val="0E546E89"/>
    <w:rsid w:val="0E8D130B"/>
    <w:rsid w:val="0E8D2C0F"/>
    <w:rsid w:val="0EA4455B"/>
    <w:rsid w:val="0ED739A6"/>
    <w:rsid w:val="0F0244C9"/>
    <w:rsid w:val="0F314925"/>
    <w:rsid w:val="0F3A39E1"/>
    <w:rsid w:val="0F436FC6"/>
    <w:rsid w:val="0F811279"/>
    <w:rsid w:val="0F8D754C"/>
    <w:rsid w:val="0FF35FCF"/>
    <w:rsid w:val="0FFB3C47"/>
    <w:rsid w:val="0FFB7362"/>
    <w:rsid w:val="102722EE"/>
    <w:rsid w:val="102D0860"/>
    <w:rsid w:val="10521951"/>
    <w:rsid w:val="10A3703B"/>
    <w:rsid w:val="10A73EB3"/>
    <w:rsid w:val="10BD2C22"/>
    <w:rsid w:val="10E34313"/>
    <w:rsid w:val="110F0C4F"/>
    <w:rsid w:val="113E2BE3"/>
    <w:rsid w:val="116568DD"/>
    <w:rsid w:val="118C09F2"/>
    <w:rsid w:val="11E7119A"/>
    <w:rsid w:val="11F43AC9"/>
    <w:rsid w:val="1219405B"/>
    <w:rsid w:val="1224562C"/>
    <w:rsid w:val="122837AD"/>
    <w:rsid w:val="122E3583"/>
    <w:rsid w:val="12381FAF"/>
    <w:rsid w:val="125E4B6A"/>
    <w:rsid w:val="126774A8"/>
    <w:rsid w:val="12783EE1"/>
    <w:rsid w:val="129D0A7B"/>
    <w:rsid w:val="12A409A1"/>
    <w:rsid w:val="12DD3146"/>
    <w:rsid w:val="12DD32D3"/>
    <w:rsid w:val="131D5A64"/>
    <w:rsid w:val="136030AD"/>
    <w:rsid w:val="136B7C77"/>
    <w:rsid w:val="136C269D"/>
    <w:rsid w:val="138A2B00"/>
    <w:rsid w:val="13A84021"/>
    <w:rsid w:val="13CB121F"/>
    <w:rsid w:val="13F24961"/>
    <w:rsid w:val="13F50DB6"/>
    <w:rsid w:val="140465FF"/>
    <w:rsid w:val="14111F03"/>
    <w:rsid w:val="144B6CDC"/>
    <w:rsid w:val="14573B47"/>
    <w:rsid w:val="147237D4"/>
    <w:rsid w:val="147B39B0"/>
    <w:rsid w:val="148A4A2A"/>
    <w:rsid w:val="14945406"/>
    <w:rsid w:val="14E21F46"/>
    <w:rsid w:val="14E30D69"/>
    <w:rsid w:val="14F309CF"/>
    <w:rsid w:val="14F80B7E"/>
    <w:rsid w:val="15081457"/>
    <w:rsid w:val="150A0AAD"/>
    <w:rsid w:val="1523732A"/>
    <w:rsid w:val="15243028"/>
    <w:rsid w:val="15640D32"/>
    <w:rsid w:val="15770C7B"/>
    <w:rsid w:val="158D7C4D"/>
    <w:rsid w:val="158F0461"/>
    <w:rsid w:val="1593647F"/>
    <w:rsid w:val="15D1656B"/>
    <w:rsid w:val="15F74E28"/>
    <w:rsid w:val="163B02E7"/>
    <w:rsid w:val="163C4DCE"/>
    <w:rsid w:val="164A6E49"/>
    <w:rsid w:val="165D1D43"/>
    <w:rsid w:val="167804EC"/>
    <w:rsid w:val="169A0512"/>
    <w:rsid w:val="16AE4AF9"/>
    <w:rsid w:val="16C6071E"/>
    <w:rsid w:val="16CC58F8"/>
    <w:rsid w:val="16E01287"/>
    <w:rsid w:val="16ED74A9"/>
    <w:rsid w:val="16F934ED"/>
    <w:rsid w:val="17094D46"/>
    <w:rsid w:val="1737648B"/>
    <w:rsid w:val="17D02788"/>
    <w:rsid w:val="17D575C9"/>
    <w:rsid w:val="17DB5D05"/>
    <w:rsid w:val="17DE6018"/>
    <w:rsid w:val="17E972BA"/>
    <w:rsid w:val="18092060"/>
    <w:rsid w:val="180E15AF"/>
    <w:rsid w:val="18342C9C"/>
    <w:rsid w:val="184629B2"/>
    <w:rsid w:val="185E6AE9"/>
    <w:rsid w:val="18726592"/>
    <w:rsid w:val="189730E9"/>
    <w:rsid w:val="18D4072D"/>
    <w:rsid w:val="18DC32DA"/>
    <w:rsid w:val="18F02CE1"/>
    <w:rsid w:val="190F0053"/>
    <w:rsid w:val="192156FC"/>
    <w:rsid w:val="19394A77"/>
    <w:rsid w:val="194C5A19"/>
    <w:rsid w:val="19572D69"/>
    <w:rsid w:val="19B45356"/>
    <w:rsid w:val="19F12C6A"/>
    <w:rsid w:val="1A19209A"/>
    <w:rsid w:val="1A34741D"/>
    <w:rsid w:val="1A467091"/>
    <w:rsid w:val="1A591AB9"/>
    <w:rsid w:val="1A7164CC"/>
    <w:rsid w:val="1ACA362B"/>
    <w:rsid w:val="1ACB25B9"/>
    <w:rsid w:val="1AD233F6"/>
    <w:rsid w:val="1AF55AF8"/>
    <w:rsid w:val="1B0E55E0"/>
    <w:rsid w:val="1B142408"/>
    <w:rsid w:val="1B1B7589"/>
    <w:rsid w:val="1B2303F4"/>
    <w:rsid w:val="1B267864"/>
    <w:rsid w:val="1B295482"/>
    <w:rsid w:val="1B3C47C0"/>
    <w:rsid w:val="1B443D24"/>
    <w:rsid w:val="1B7D0522"/>
    <w:rsid w:val="1BAD0614"/>
    <w:rsid w:val="1BB12276"/>
    <w:rsid w:val="1BC4622C"/>
    <w:rsid w:val="1BC50885"/>
    <w:rsid w:val="1BDA15E1"/>
    <w:rsid w:val="1C14179F"/>
    <w:rsid w:val="1C366217"/>
    <w:rsid w:val="1C6F5F5B"/>
    <w:rsid w:val="1C8731E0"/>
    <w:rsid w:val="1C8D08DE"/>
    <w:rsid w:val="1C993405"/>
    <w:rsid w:val="1C9F0C55"/>
    <w:rsid w:val="1CAC444A"/>
    <w:rsid w:val="1D000CBA"/>
    <w:rsid w:val="1D1C44E8"/>
    <w:rsid w:val="1D6E76B2"/>
    <w:rsid w:val="1D7B0B05"/>
    <w:rsid w:val="1D8C3A3F"/>
    <w:rsid w:val="1DA71037"/>
    <w:rsid w:val="1DAD7300"/>
    <w:rsid w:val="1DB94BD2"/>
    <w:rsid w:val="1DDF037E"/>
    <w:rsid w:val="1DDF7BA0"/>
    <w:rsid w:val="1DE04BDC"/>
    <w:rsid w:val="1E017314"/>
    <w:rsid w:val="1E3003E1"/>
    <w:rsid w:val="1E332380"/>
    <w:rsid w:val="1E466B8C"/>
    <w:rsid w:val="1E7206C3"/>
    <w:rsid w:val="1E7F5BD3"/>
    <w:rsid w:val="1EE31F52"/>
    <w:rsid w:val="1EE76B2C"/>
    <w:rsid w:val="1F147360"/>
    <w:rsid w:val="1F173055"/>
    <w:rsid w:val="1F20274B"/>
    <w:rsid w:val="1F48352B"/>
    <w:rsid w:val="1F733318"/>
    <w:rsid w:val="1F804FE7"/>
    <w:rsid w:val="1FA57657"/>
    <w:rsid w:val="1FA7202A"/>
    <w:rsid w:val="1FC37A59"/>
    <w:rsid w:val="1FC6346F"/>
    <w:rsid w:val="1FE334B8"/>
    <w:rsid w:val="1FE63AA5"/>
    <w:rsid w:val="202F3061"/>
    <w:rsid w:val="203839F0"/>
    <w:rsid w:val="205B1F0D"/>
    <w:rsid w:val="206654C3"/>
    <w:rsid w:val="209E4344"/>
    <w:rsid w:val="20B37EC2"/>
    <w:rsid w:val="20B87E4C"/>
    <w:rsid w:val="20E45E57"/>
    <w:rsid w:val="210164FF"/>
    <w:rsid w:val="2103720E"/>
    <w:rsid w:val="21203039"/>
    <w:rsid w:val="21533F5D"/>
    <w:rsid w:val="216B2490"/>
    <w:rsid w:val="21714B2A"/>
    <w:rsid w:val="2171788D"/>
    <w:rsid w:val="21832E58"/>
    <w:rsid w:val="21985429"/>
    <w:rsid w:val="21B454B6"/>
    <w:rsid w:val="21C66A13"/>
    <w:rsid w:val="21DF2CC7"/>
    <w:rsid w:val="22023292"/>
    <w:rsid w:val="220752D8"/>
    <w:rsid w:val="22105472"/>
    <w:rsid w:val="221E4E4B"/>
    <w:rsid w:val="228B63E3"/>
    <w:rsid w:val="22987C80"/>
    <w:rsid w:val="22B1729F"/>
    <w:rsid w:val="22B72F27"/>
    <w:rsid w:val="22C475DF"/>
    <w:rsid w:val="22FD1EA6"/>
    <w:rsid w:val="230F0BA0"/>
    <w:rsid w:val="2326791D"/>
    <w:rsid w:val="233F2ED5"/>
    <w:rsid w:val="235146F4"/>
    <w:rsid w:val="23610BF7"/>
    <w:rsid w:val="23816C55"/>
    <w:rsid w:val="238A21EB"/>
    <w:rsid w:val="23A11008"/>
    <w:rsid w:val="23A8142C"/>
    <w:rsid w:val="23A8484A"/>
    <w:rsid w:val="23B24762"/>
    <w:rsid w:val="23E30554"/>
    <w:rsid w:val="23EF3FC4"/>
    <w:rsid w:val="23F8120F"/>
    <w:rsid w:val="24031752"/>
    <w:rsid w:val="240C6A6E"/>
    <w:rsid w:val="24192CCC"/>
    <w:rsid w:val="242C10F6"/>
    <w:rsid w:val="24844578"/>
    <w:rsid w:val="24A36C2A"/>
    <w:rsid w:val="24A97E6E"/>
    <w:rsid w:val="24BB76EA"/>
    <w:rsid w:val="24E317DD"/>
    <w:rsid w:val="24E73035"/>
    <w:rsid w:val="2502111A"/>
    <w:rsid w:val="25574908"/>
    <w:rsid w:val="255C077F"/>
    <w:rsid w:val="25AE592D"/>
    <w:rsid w:val="26490B05"/>
    <w:rsid w:val="266E79C8"/>
    <w:rsid w:val="26771561"/>
    <w:rsid w:val="26844F9B"/>
    <w:rsid w:val="268F6DC3"/>
    <w:rsid w:val="26B637C9"/>
    <w:rsid w:val="26F26878"/>
    <w:rsid w:val="273E20D5"/>
    <w:rsid w:val="274D6A46"/>
    <w:rsid w:val="275849AD"/>
    <w:rsid w:val="27AC20E2"/>
    <w:rsid w:val="27C049D0"/>
    <w:rsid w:val="27F14C5E"/>
    <w:rsid w:val="28170D78"/>
    <w:rsid w:val="281E2A5E"/>
    <w:rsid w:val="28243546"/>
    <w:rsid w:val="283B519C"/>
    <w:rsid w:val="2846302D"/>
    <w:rsid w:val="2855082E"/>
    <w:rsid w:val="28582EEA"/>
    <w:rsid w:val="285B63D9"/>
    <w:rsid w:val="288F490C"/>
    <w:rsid w:val="28A96B5B"/>
    <w:rsid w:val="29150578"/>
    <w:rsid w:val="293E6618"/>
    <w:rsid w:val="29431576"/>
    <w:rsid w:val="298E7EBA"/>
    <w:rsid w:val="2995698F"/>
    <w:rsid w:val="29A44630"/>
    <w:rsid w:val="29AA7A01"/>
    <w:rsid w:val="29DE489B"/>
    <w:rsid w:val="29DF7A9D"/>
    <w:rsid w:val="2A1774EF"/>
    <w:rsid w:val="2A1953A4"/>
    <w:rsid w:val="2A3023E7"/>
    <w:rsid w:val="2A392113"/>
    <w:rsid w:val="2A9B7870"/>
    <w:rsid w:val="2A9E7C76"/>
    <w:rsid w:val="2AC90DE1"/>
    <w:rsid w:val="2ADC07B5"/>
    <w:rsid w:val="2AE13576"/>
    <w:rsid w:val="2B04781F"/>
    <w:rsid w:val="2B195D8A"/>
    <w:rsid w:val="2B3F2C60"/>
    <w:rsid w:val="2B8A0892"/>
    <w:rsid w:val="2BAE7EC7"/>
    <w:rsid w:val="2BC4791E"/>
    <w:rsid w:val="2BC7515F"/>
    <w:rsid w:val="2BDA00C6"/>
    <w:rsid w:val="2BDA114F"/>
    <w:rsid w:val="2BDC106F"/>
    <w:rsid w:val="2BF26446"/>
    <w:rsid w:val="2C36549E"/>
    <w:rsid w:val="2C533B27"/>
    <w:rsid w:val="2C6C5A06"/>
    <w:rsid w:val="2C871D1D"/>
    <w:rsid w:val="2C9848C0"/>
    <w:rsid w:val="2CA40C82"/>
    <w:rsid w:val="2CB04B70"/>
    <w:rsid w:val="2CD514D4"/>
    <w:rsid w:val="2CD90DC8"/>
    <w:rsid w:val="2CF9023A"/>
    <w:rsid w:val="2D3A3874"/>
    <w:rsid w:val="2D42027F"/>
    <w:rsid w:val="2D4421C9"/>
    <w:rsid w:val="2D5357F6"/>
    <w:rsid w:val="2D690B30"/>
    <w:rsid w:val="2D7B5E84"/>
    <w:rsid w:val="2D842845"/>
    <w:rsid w:val="2D855A41"/>
    <w:rsid w:val="2DCA02E4"/>
    <w:rsid w:val="2DE468E1"/>
    <w:rsid w:val="2E1F21FB"/>
    <w:rsid w:val="2E4B2C14"/>
    <w:rsid w:val="2E5E5C91"/>
    <w:rsid w:val="2E780057"/>
    <w:rsid w:val="2EF94E09"/>
    <w:rsid w:val="2F05570A"/>
    <w:rsid w:val="2F15578F"/>
    <w:rsid w:val="2F174AD1"/>
    <w:rsid w:val="2F2D7A62"/>
    <w:rsid w:val="2F652D19"/>
    <w:rsid w:val="2FB75B63"/>
    <w:rsid w:val="2FCF1DBF"/>
    <w:rsid w:val="2FED4B8E"/>
    <w:rsid w:val="30017E07"/>
    <w:rsid w:val="301A1A20"/>
    <w:rsid w:val="301D15E9"/>
    <w:rsid w:val="30241191"/>
    <w:rsid w:val="303F0EDE"/>
    <w:rsid w:val="3113463B"/>
    <w:rsid w:val="315622E0"/>
    <w:rsid w:val="31913F81"/>
    <w:rsid w:val="31A02413"/>
    <w:rsid w:val="31E247A4"/>
    <w:rsid w:val="31E930E8"/>
    <w:rsid w:val="31EE3AC7"/>
    <w:rsid w:val="31EF4AE2"/>
    <w:rsid w:val="32042D3A"/>
    <w:rsid w:val="32156ECF"/>
    <w:rsid w:val="32394A0C"/>
    <w:rsid w:val="32397BCE"/>
    <w:rsid w:val="325D6AF0"/>
    <w:rsid w:val="3265587A"/>
    <w:rsid w:val="326709FD"/>
    <w:rsid w:val="327632E9"/>
    <w:rsid w:val="32806F50"/>
    <w:rsid w:val="32881B7F"/>
    <w:rsid w:val="32903760"/>
    <w:rsid w:val="32AE0E82"/>
    <w:rsid w:val="32EA7127"/>
    <w:rsid w:val="32FE135A"/>
    <w:rsid w:val="33023F4C"/>
    <w:rsid w:val="330A047F"/>
    <w:rsid w:val="3336088F"/>
    <w:rsid w:val="337B1F13"/>
    <w:rsid w:val="33806E3B"/>
    <w:rsid w:val="33865765"/>
    <w:rsid w:val="33C74771"/>
    <w:rsid w:val="33D67A3D"/>
    <w:rsid w:val="3407390A"/>
    <w:rsid w:val="34150434"/>
    <w:rsid w:val="341A6918"/>
    <w:rsid w:val="342333CC"/>
    <w:rsid w:val="34416D1A"/>
    <w:rsid w:val="346E2341"/>
    <w:rsid w:val="34B40FFE"/>
    <w:rsid w:val="34C36260"/>
    <w:rsid w:val="34D41FCA"/>
    <w:rsid w:val="34D53EBC"/>
    <w:rsid w:val="34D86314"/>
    <w:rsid w:val="350B2285"/>
    <w:rsid w:val="35160A40"/>
    <w:rsid w:val="35301430"/>
    <w:rsid w:val="353E5A6D"/>
    <w:rsid w:val="3565798B"/>
    <w:rsid w:val="35895F67"/>
    <w:rsid w:val="35BA7D84"/>
    <w:rsid w:val="35C4234E"/>
    <w:rsid w:val="35CF4D5E"/>
    <w:rsid w:val="35D93923"/>
    <w:rsid w:val="36032070"/>
    <w:rsid w:val="363D2065"/>
    <w:rsid w:val="36672E9B"/>
    <w:rsid w:val="366B5545"/>
    <w:rsid w:val="36AB7BBC"/>
    <w:rsid w:val="36B751BA"/>
    <w:rsid w:val="36EA70B8"/>
    <w:rsid w:val="3705787D"/>
    <w:rsid w:val="3718238B"/>
    <w:rsid w:val="37235F3E"/>
    <w:rsid w:val="37567C01"/>
    <w:rsid w:val="37753A6C"/>
    <w:rsid w:val="37877610"/>
    <w:rsid w:val="37B9152E"/>
    <w:rsid w:val="37CA2CCC"/>
    <w:rsid w:val="37CD0323"/>
    <w:rsid w:val="37E07593"/>
    <w:rsid w:val="37F025EB"/>
    <w:rsid w:val="37F16651"/>
    <w:rsid w:val="37FD0FE3"/>
    <w:rsid w:val="38180A4E"/>
    <w:rsid w:val="38257115"/>
    <w:rsid w:val="388C2F20"/>
    <w:rsid w:val="38916622"/>
    <w:rsid w:val="38BB22DD"/>
    <w:rsid w:val="38C4534A"/>
    <w:rsid w:val="38CF63FF"/>
    <w:rsid w:val="38E42119"/>
    <w:rsid w:val="38F06467"/>
    <w:rsid w:val="38F75E7F"/>
    <w:rsid w:val="391F2D48"/>
    <w:rsid w:val="39210231"/>
    <w:rsid w:val="3923425B"/>
    <w:rsid w:val="39385EC8"/>
    <w:rsid w:val="39477418"/>
    <w:rsid w:val="39711927"/>
    <w:rsid w:val="397C5051"/>
    <w:rsid w:val="397E765A"/>
    <w:rsid w:val="39A66CD4"/>
    <w:rsid w:val="3A1800E6"/>
    <w:rsid w:val="3A2D7602"/>
    <w:rsid w:val="3A3737D2"/>
    <w:rsid w:val="3A387BE8"/>
    <w:rsid w:val="3A4C5BB1"/>
    <w:rsid w:val="3A585D7E"/>
    <w:rsid w:val="3A5E5646"/>
    <w:rsid w:val="3A643C22"/>
    <w:rsid w:val="3A737D8B"/>
    <w:rsid w:val="3AB57FE4"/>
    <w:rsid w:val="3ABF22D4"/>
    <w:rsid w:val="3AC44953"/>
    <w:rsid w:val="3ACF10E3"/>
    <w:rsid w:val="3B23703F"/>
    <w:rsid w:val="3B680794"/>
    <w:rsid w:val="3B6C6530"/>
    <w:rsid w:val="3B731E54"/>
    <w:rsid w:val="3BAA478F"/>
    <w:rsid w:val="3BBD0EB9"/>
    <w:rsid w:val="3BE17720"/>
    <w:rsid w:val="3BE3445E"/>
    <w:rsid w:val="3C0E2AD8"/>
    <w:rsid w:val="3C122A8F"/>
    <w:rsid w:val="3C1D57FA"/>
    <w:rsid w:val="3C271F92"/>
    <w:rsid w:val="3C402741"/>
    <w:rsid w:val="3C4A37C6"/>
    <w:rsid w:val="3C83378D"/>
    <w:rsid w:val="3C853E5F"/>
    <w:rsid w:val="3C97237D"/>
    <w:rsid w:val="3CA5589B"/>
    <w:rsid w:val="3CC45689"/>
    <w:rsid w:val="3CCE5275"/>
    <w:rsid w:val="3CD52CE1"/>
    <w:rsid w:val="3CF8483E"/>
    <w:rsid w:val="3D0735D2"/>
    <w:rsid w:val="3D4E4DAD"/>
    <w:rsid w:val="3DAB6F09"/>
    <w:rsid w:val="3DC61F94"/>
    <w:rsid w:val="3DFA2D04"/>
    <w:rsid w:val="3E155A6B"/>
    <w:rsid w:val="3E1F60EE"/>
    <w:rsid w:val="3E2B071C"/>
    <w:rsid w:val="3E36696E"/>
    <w:rsid w:val="3E54799D"/>
    <w:rsid w:val="3E642150"/>
    <w:rsid w:val="3EFB7DD5"/>
    <w:rsid w:val="3EFF5CF2"/>
    <w:rsid w:val="3F07250C"/>
    <w:rsid w:val="3F171317"/>
    <w:rsid w:val="3F2A0CC5"/>
    <w:rsid w:val="3F3A3C1D"/>
    <w:rsid w:val="3F4149A8"/>
    <w:rsid w:val="3F8C5CF7"/>
    <w:rsid w:val="3F973A63"/>
    <w:rsid w:val="3FCC1D5F"/>
    <w:rsid w:val="3FCC62D8"/>
    <w:rsid w:val="3FCE573A"/>
    <w:rsid w:val="3FD221AE"/>
    <w:rsid w:val="3FED574A"/>
    <w:rsid w:val="3FFA0CED"/>
    <w:rsid w:val="40086F94"/>
    <w:rsid w:val="40142058"/>
    <w:rsid w:val="401B55C7"/>
    <w:rsid w:val="401D5A4F"/>
    <w:rsid w:val="40592D05"/>
    <w:rsid w:val="405C6A14"/>
    <w:rsid w:val="40691C1C"/>
    <w:rsid w:val="408D2573"/>
    <w:rsid w:val="409C3DB1"/>
    <w:rsid w:val="40BE1B89"/>
    <w:rsid w:val="410F2E6A"/>
    <w:rsid w:val="411E54DE"/>
    <w:rsid w:val="41972FC5"/>
    <w:rsid w:val="419A077C"/>
    <w:rsid w:val="41A340FA"/>
    <w:rsid w:val="41B36A6E"/>
    <w:rsid w:val="41FF1F9A"/>
    <w:rsid w:val="420B3256"/>
    <w:rsid w:val="421E0FA9"/>
    <w:rsid w:val="421F0BD7"/>
    <w:rsid w:val="4225173F"/>
    <w:rsid w:val="42310BA1"/>
    <w:rsid w:val="4276742F"/>
    <w:rsid w:val="4280191E"/>
    <w:rsid w:val="428D491F"/>
    <w:rsid w:val="42A278C9"/>
    <w:rsid w:val="42B9722A"/>
    <w:rsid w:val="42BA5381"/>
    <w:rsid w:val="42BF405B"/>
    <w:rsid w:val="42D12F45"/>
    <w:rsid w:val="42D56A46"/>
    <w:rsid w:val="431A7008"/>
    <w:rsid w:val="431B040C"/>
    <w:rsid w:val="434E5551"/>
    <w:rsid w:val="436C229B"/>
    <w:rsid w:val="438F7631"/>
    <w:rsid w:val="43972546"/>
    <w:rsid w:val="43D54207"/>
    <w:rsid w:val="43DC77DA"/>
    <w:rsid w:val="43E77761"/>
    <w:rsid w:val="43FC0F93"/>
    <w:rsid w:val="4430136C"/>
    <w:rsid w:val="443A7A31"/>
    <w:rsid w:val="44437E8F"/>
    <w:rsid w:val="444B2B75"/>
    <w:rsid w:val="44733816"/>
    <w:rsid w:val="44743A58"/>
    <w:rsid w:val="447A3132"/>
    <w:rsid w:val="448A1134"/>
    <w:rsid w:val="44C13441"/>
    <w:rsid w:val="44C30742"/>
    <w:rsid w:val="44E33A93"/>
    <w:rsid w:val="4594110B"/>
    <w:rsid w:val="459C5DAD"/>
    <w:rsid w:val="45B62C82"/>
    <w:rsid w:val="45BE7FFE"/>
    <w:rsid w:val="45C70A1D"/>
    <w:rsid w:val="45DC6F1D"/>
    <w:rsid w:val="45EC04E2"/>
    <w:rsid w:val="46084096"/>
    <w:rsid w:val="46363119"/>
    <w:rsid w:val="465F3B1D"/>
    <w:rsid w:val="468545C6"/>
    <w:rsid w:val="46D16D7F"/>
    <w:rsid w:val="46E97C7D"/>
    <w:rsid w:val="4703773B"/>
    <w:rsid w:val="47280AD2"/>
    <w:rsid w:val="47362DF8"/>
    <w:rsid w:val="4760505D"/>
    <w:rsid w:val="47B85339"/>
    <w:rsid w:val="47CA1346"/>
    <w:rsid w:val="47DC112B"/>
    <w:rsid w:val="47FF401E"/>
    <w:rsid w:val="481C5DD4"/>
    <w:rsid w:val="48260563"/>
    <w:rsid w:val="48475982"/>
    <w:rsid w:val="48A02014"/>
    <w:rsid w:val="48AD1802"/>
    <w:rsid w:val="48C17067"/>
    <w:rsid w:val="48C968B3"/>
    <w:rsid w:val="48DF4792"/>
    <w:rsid w:val="48EB79DC"/>
    <w:rsid w:val="49094F49"/>
    <w:rsid w:val="49344631"/>
    <w:rsid w:val="4936240A"/>
    <w:rsid w:val="49515BD4"/>
    <w:rsid w:val="49581C7F"/>
    <w:rsid w:val="497F4E3D"/>
    <w:rsid w:val="49907998"/>
    <w:rsid w:val="499921B5"/>
    <w:rsid w:val="49A218D4"/>
    <w:rsid w:val="49DC143D"/>
    <w:rsid w:val="49EC0E95"/>
    <w:rsid w:val="49FC3CD4"/>
    <w:rsid w:val="4A044D46"/>
    <w:rsid w:val="4A0C3BD4"/>
    <w:rsid w:val="4A1F0491"/>
    <w:rsid w:val="4A34525F"/>
    <w:rsid w:val="4A3604F6"/>
    <w:rsid w:val="4A7A7AC5"/>
    <w:rsid w:val="4A7C1AAC"/>
    <w:rsid w:val="4AB0382B"/>
    <w:rsid w:val="4AB51ACD"/>
    <w:rsid w:val="4AC05646"/>
    <w:rsid w:val="4AC15D2C"/>
    <w:rsid w:val="4ACD1211"/>
    <w:rsid w:val="4ADA15A1"/>
    <w:rsid w:val="4B00252A"/>
    <w:rsid w:val="4B112C27"/>
    <w:rsid w:val="4B98061C"/>
    <w:rsid w:val="4B9A5778"/>
    <w:rsid w:val="4B9E2DF2"/>
    <w:rsid w:val="4BF64AEA"/>
    <w:rsid w:val="4C1D2B04"/>
    <w:rsid w:val="4C861C1D"/>
    <w:rsid w:val="4CA27482"/>
    <w:rsid w:val="4CA700EB"/>
    <w:rsid w:val="4CCC571F"/>
    <w:rsid w:val="4CEC1CEC"/>
    <w:rsid w:val="4CFA26C6"/>
    <w:rsid w:val="4CFA4B4A"/>
    <w:rsid w:val="4D373989"/>
    <w:rsid w:val="4D4D5C21"/>
    <w:rsid w:val="4D6A045B"/>
    <w:rsid w:val="4D6E02BF"/>
    <w:rsid w:val="4D73701C"/>
    <w:rsid w:val="4D880DE1"/>
    <w:rsid w:val="4DA70531"/>
    <w:rsid w:val="4DDC7B15"/>
    <w:rsid w:val="4DF67525"/>
    <w:rsid w:val="4E380987"/>
    <w:rsid w:val="4E3B2123"/>
    <w:rsid w:val="4E3E78D7"/>
    <w:rsid w:val="4E503938"/>
    <w:rsid w:val="4E5C69D6"/>
    <w:rsid w:val="4E65730F"/>
    <w:rsid w:val="4E755B89"/>
    <w:rsid w:val="4E88547F"/>
    <w:rsid w:val="4EB46678"/>
    <w:rsid w:val="4EC1071A"/>
    <w:rsid w:val="4EF84D5E"/>
    <w:rsid w:val="4EFF4B74"/>
    <w:rsid w:val="502744E6"/>
    <w:rsid w:val="50504B24"/>
    <w:rsid w:val="50653AAC"/>
    <w:rsid w:val="508A3130"/>
    <w:rsid w:val="50E44AC5"/>
    <w:rsid w:val="513D65EF"/>
    <w:rsid w:val="51620B0E"/>
    <w:rsid w:val="516B5E1B"/>
    <w:rsid w:val="5182251A"/>
    <w:rsid w:val="51A118EB"/>
    <w:rsid w:val="51CD4B72"/>
    <w:rsid w:val="51CF46B5"/>
    <w:rsid w:val="51EB41DA"/>
    <w:rsid w:val="5203657F"/>
    <w:rsid w:val="52096DE9"/>
    <w:rsid w:val="521C1091"/>
    <w:rsid w:val="52337674"/>
    <w:rsid w:val="52353417"/>
    <w:rsid w:val="5292278C"/>
    <w:rsid w:val="52CC5E4C"/>
    <w:rsid w:val="52E952FD"/>
    <w:rsid w:val="52F9620C"/>
    <w:rsid w:val="52FB6134"/>
    <w:rsid w:val="530442A8"/>
    <w:rsid w:val="53535C81"/>
    <w:rsid w:val="53754995"/>
    <w:rsid w:val="53773725"/>
    <w:rsid w:val="539C1E69"/>
    <w:rsid w:val="53BA598E"/>
    <w:rsid w:val="53F6493C"/>
    <w:rsid w:val="5410247D"/>
    <w:rsid w:val="54514E55"/>
    <w:rsid w:val="545A2B3B"/>
    <w:rsid w:val="546E2F20"/>
    <w:rsid w:val="547A7DCD"/>
    <w:rsid w:val="5483345D"/>
    <w:rsid w:val="549A460E"/>
    <w:rsid w:val="54AC7F76"/>
    <w:rsid w:val="54D73C3B"/>
    <w:rsid w:val="55045418"/>
    <w:rsid w:val="550963E9"/>
    <w:rsid w:val="554A4F09"/>
    <w:rsid w:val="556E0923"/>
    <w:rsid w:val="55760812"/>
    <w:rsid w:val="557833BF"/>
    <w:rsid w:val="55A02B8C"/>
    <w:rsid w:val="55BB2ACF"/>
    <w:rsid w:val="55F011E1"/>
    <w:rsid w:val="562777A0"/>
    <w:rsid w:val="562831D9"/>
    <w:rsid w:val="56347BAE"/>
    <w:rsid w:val="5658254F"/>
    <w:rsid w:val="567F2A46"/>
    <w:rsid w:val="56840005"/>
    <w:rsid w:val="569868B5"/>
    <w:rsid w:val="569A502D"/>
    <w:rsid w:val="56B54F0E"/>
    <w:rsid w:val="56DA4DF5"/>
    <w:rsid w:val="571B46B4"/>
    <w:rsid w:val="572002A9"/>
    <w:rsid w:val="572101AE"/>
    <w:rsid w:val="57501873"/>
    <w:rsid w:val="57667506"/>
    <w:rsid w:val="578568D1"/>
    <w:rsid w:val="57A6736D"/>
    <w:rsid w:val="57C26159"/>
    <w:rsid w:val="57E06EC7"/>
    <w:rsid w:val="57E33828"/>
    <w:rsid w:val="57F77E8B"/>
    <w:rsid w:val="57FC6CFC"/>
    <w:rsid w:val="580A40A5"/>
    <w:rsid w:val="583D1AFC"/>
    <w:rsid w:val="585E5005"/>
    <w:rsid w:val="585F10C4"/>
    <w:rsid w:val="5862163C"/>
    <w:rsid w:val="58732B08"/>
    <w:rsid w:val="58A7150F"/>
    <w:rsid w:val="58B05F31"/>
    <w:rsid w:val="58C04846"/>
    <w:rsid w:val="59035465"/>
    <w:rsid w:val="59506A2A"/>
    <w:rsid w:val="59603819"/>
    <w:rsid w:val="59854791"/>
    <w:rsid w:val="59954201"/>
    <w:rsid w:val="59B801AD"/>
    <w:rsid w:val="59BE653B"/>
    <w:rsid w:val="59C220B9"/>
    <w:rsid w:val="5A191F05"/>
    <w:rsid w:val="5A491E98"/>
    <w:rsid w:val="5A5B7912"/>
    <w:rsid w:val="5A6F0D98"/>
    <w:rsid w:val="5A9C38BA"/>
    <w:rsid w:val="5AAC54A6"/>
    <w:rsid w:val="5AE7565E"/>
    <w:rsid w:val="5AF16EAE"/>
    <w:rsid w:val="5B096877"/>
    <w:rsid w:val="5B2915D8"/>
    <w:rsid w:val="5B494682"/>
    <w:rsid w:val="5B635C82"/>
    <w:rsid w:val="5B7D5633"/>
    <w:rsid w:val="5B9529FF"/>
    <w:rsid w:val="5BBD2A62"/>
    <w:rsid w:val="5BD0664E"/>
    <w:rsid w:val="5BD10247"/>
    <w:rsid w:val="5BDE7431"/>
    <w:rsid w:val="5BF87EB2"/>
    <w:rsid w:val="5BFF156E"/>
    <w:rsid w:val="5C06044D"/>
    <w:rsid w:val="5C086B20"/>
    <w:rsid w:val="5C3052C4"/>
    <w:rsid w:val="5C6A0246"/>
    <w:rsid w:val="5C6D6757"/>
    <w:rsid w:val="5C75167A"/>
    <w:rsid w:val="5C8D250E"/>
    <w:rsid w:val="5C90437A"/>
    <w:rsid w:val="5CAB6356"/>
    <w:rsid w:val="5CF0708A"/>
    <w:rsid w:val="5CFC036E"/>
    <w:rsid w:val="5D185C34"/>
    <w:rsid w:val="5D3271CE"/>
    <w:rsid w:val="5D3E7524"/>
    <w:rsid w:val="5E6F0850"/>
    <w:rsid w:val="5E793CDF"/>
    <w:rsid w:val="5E81387C"/>
    <w:rsid w:val="5E9778FF"/>
    <w:rsid w:val="5E9A0EE4"/>
    <w:rsid w:val="5EBE499A"/>
    <w:rsid w:val="5ED97E4F"/>
    <w:rsid w:val="5EE30AF4"/>
    <w:rsid w:val="5EEC4A06"/>
    <w:rsid w:val="5F177884"/>
    <w:rsid w:val="5F350D1E"/>
    <w:rsid w:val="5F3A5724"/>
    <w:rsid w:val="5F432B74"/>
    <w:rsid w:val="5F6333F4"/>
    <w:rsid w:val="5F6969CE"/>
    <w:rsid w:val="5F7506B0"/>
    <w:rsid w:val="5F7E11D0"/>
    <w:rsid w:val="5F7F4FE4"/>
    <w:rsid w:val="5F8C2CA8"/>
    <w:rsid w:val="5FAC0D6D"/>
    <w:rsid w:val="5FB24DFC"/>
    <w:rsid w:val="5FB27450"/>
    <w:rsid w:val="5FBF151B"/>
    <w:rsid w:val="5FC51810"/>
    <w:rsid w:val="5FD228F5"/>
    <w:rsid w:val="5FEF1085"/>
    <w:rsid w:val="60491D30"/>
    <w:rsid w:val="604B5333"/>
    <w:rsid w:val="60601EB3"/>
    <w:rsid w:val="60A32CCD"/>
    <w:rsid w:val="60BE1C31"/>
    <w:rsid w:val="60DB3716"/>
    <w:rsid w:val="60E40127"/>
    <w:rsid w:val="60EA2718"/>
    <w:rsid w:val="60F9072E"/>
    <w:rsid w:val="61102D83"/>
    <w:rsid w:val="611F6817"/>
    <w:rsid w:val="613731AD"/>
    <w:rsid w:val="614158EE"/>
    <w:rsid w:val="61551B3E"/>
    <w:rsid w:val="61684843"/>
    <w:rsid w:val="618B4BB7"/>
    <w:rsid w:val="618B50A5"/>
    <w:rsid w:val="61951AA4"/>
    <w:rsid w:val="61A41573"/>
    <w:rsid w:val="61B96970"/>
    <w:rsid w:val="61D317A0"/>
    <w:rsid w:val="61E0741D"/>
    <w:rsid w:val="61F4351A"/>
    <w:rsid w:val="61F609D7"/>
    <w:rsid w:val="62383F10"/>
    <w:rsid w:val="627C475A"/>
    <w:rsid w:val="62812FC5"/>
    <w:rsid w:val="62944F83"/>
    <w:rsid w:val="62D50C1F"/>
    <w:rsid w:val="62EF74AE"/>
    <w:rsid w:val="62FE3846"/>
    <w:rsid w:val="6318492A"/>
    <w:rsid w:val="63506CFE"/>
    <w:rsid w:val="63637278"/>
    <w:rsid w:val="63D837DF"/>
    <w:rsid w:val="645E4F7F"/>
    <w:rsid w:val="646F69A6"/>
    <w:rsid w:val="6491056B"/>
    <w:rsid w:val="64931A70"/>
    <w:rsid w:val="64E246AA"/>
    <w:rsid w:val="652B261A"/>
    <w:rsid w:val="652E6566"/>
    <w:rsid w:val="65411A26"/>
    <w:rsid w:val="654C1D9B"/>
    <w:rsid w:val="6566229C"/>
    <w:rsid w:val="65902FD0"/>
    <w:rsid w:val="65A3246D"/>
    <w:rsid w:val="65DD6D0B"/>
    <w:rsid w:val="65E75355"/>
    <w:rsid w:val="65ED46CD"/>
    <w:rsid w:val="66032197"/>
    <w:rsid w:val="66067A8C"/>
    <w:rsid w:val="66243049"/>
    <w:rsid w:val="66520E8A"/>
    <w:rsid w:val="666A5022"/>
    <w:rsid w:val="66764F7E"/>
    <w:rsid w:val="66C130A1"/>
    <w:rsid w:val="66CA1754"/>
    <w:rsid w:val="66CE51DB"/>
    <w:rsid w:val="671762BF"/>
    <w:rsid w:val="676A1D76"/>
    <w:rsid w:val="67B61002"/>
    <w:rsid w:val="67D83EE9"/>
    <w:rsid w:val="67E80C7C"/>
    <w:rsid w:val="67FC36B1"/>
    <w:rsid w:val="68096E71"/>
    <w:rsid w:val="688E79E8"/>
    <w:rsid w:val="68D720AA"/>
    <w:rsid w:val="68D81B34"/>
    <w:rsid w:val="68E720A5"/>
    <w:rsid w:val="69034E29"/>
    <w:rsid w:val="69270B10"/>
    <w:rsid w:val="694411DB"/>
    <w:rsid w:val="695A3ECF"/>
    <w:rsid w:val="69674B68"/>
    <w:rsid w:val="69797527"/>
    <w:rsid w:val="697D63B9"/>
    <w:rsid w:val="69DF0952"/>
    <w:rsid w:val="69F22C02"/>
    <w:rsid w:val="6A0364D5"/>
    <w:rsid w:val="6A1108F3"/>
    <w:rsid w:val="6A1473BF"/>
    <w:rsid w:val="6A37672D"/>
    <w:rsid w:val="6A5A72F3"/>
    <w:rsid w:val="6A705EA0"/>
    <w:rsid w:val="6A7454C3"/>
    <w:rsid w:val="6AAF0E18"/>
    <w:rsid w:val="6ACA4237"/>
    <w:rsid w:val="6AD67AF9"/>
    <w:rsid w:val="6AE36D75"/>
    <w:rsid w:val="6B2A119A"/>
    <w:rsid w:val="6B2C5E54"/>
    <w:rsid w:val="6B382C68"/>
    <w:rsid w:val="6B38333F"/>
    <w:rsid w:val="6B620B0F"/>
    <w:rsid w:val="6B8117D9"/>
    <w:rsid w:val="6BA21602"/>
    <w:rsid w:val="6BC32EE8"/>
    <w:rsid w:val="6BD12BB7"/>
    <w:rsid w:val="6BE54432"/>
    <w:rsid w:val="6C144E7B"/>
    <w:rsid w:val="6C286B97"/>
    <w:rsid w:val="6C4646F6"/>
    <w:rsid w:val="6C8D31CC"/>
    <w:rsid w:val="6CB247C1"/>
    <w:rsid w:val="6CC206EE"/>
    <w:rsid w:val="6CE12EE2"/>
    <w:rsid w:val="6CFF6D4D"/>
    <w:rsid w:val="6D5A1C5F"/>
    <w:rsid w:val="6D7E26B7"/>
    <w:rsid w:val="6DDB6E3B"/>
    <w:rsid w:val="6DDE5C6E"/>
    <w:rsid w:val="6DE71817"/>
    <w:rsid w:val="6E060B1F"/>
    <w:rsid w:val="6E176931"/>
    <w:rsid w:val="6E231C0A"/>
    <w:rsid w:val="6E410C1E"/>
    <w:rsid w:val="6E551418"/>
    <w:rsid w:val="6E6C5DF8"/>
    <w:rsid w:val="6E7B7FE4"/>
    <w:rsid w:val="6E8C439E"/>
    <w:rsid w:val="6E905E02"/>
    <w:rsid w:val="6EB80B6A"/>
    <w:rsid w:val="6ECA2060"/>
    <w:rsid w:val="6EE54DBD"/>
    <w:rsid w:val="6EEB10E9"/>
    <w:rsid w:val="6F1E1540"/>
    <w:rsid w:val="6F1E65D4"/>
    <w:rsid w:val="6F266C86"/>
    <w:rsid w:val="6F3D3975"/>
    <w:rsid w:val="6F5042C2"/>
    <w:rsid w:val="6F752A70"/>
    <w:rsid w:val="6F8C015F"/>
    <w:rsid w:val="6F8E53E2"/>
    <w:rsid w:val="6FAC1A83"/>
    <w:rsid w:val="6FC36B2F"/>
    <w:rsid w:val="6FCE6277"/>
    <w:rsid w:val="6FE335C7"/>
    <w:rsid w:val="6FEC1F55"/>
    <w:rsid w:val="700115CD"/>
    <w:rsid w:val="70246E58"/>
    <w:rsid w:val="703C4D68"/>
    <w:rsid w:val="707B235F"/>
    <w:rsid w:val="707D4D55"/>
    <w:rsid w:val="70842DEF"/>
    <w:rsid w:val="708609E1"/>
    <w:rsid w:val="708A390D"/>
    <w:rsid w:val="7093094C"/>
    <w:rsid w:val="70F900D9"/>
    <w:rsid w:val="710A6D12"/>
    <w:rsid w:val="71101AF5"/>
    <w:rsid w:val="71185D76"/>
    <w:rsid w:val="712C0608"/>
    <w:rsid w:val="713C6FCC"/>
    <w:rsid w:val="71987004"/>
    <w:rsid w:val="71AB2962"/>
    <w:rsid w:val="720141FF"/>
    <w:rsid w:val="724564CB"/>
    <w:rsid w:val="729A746D"/>
    <w:rsid w:val="729F6337"/>
    <w:rsid w:val="72B47877"/>
    <w:rsid w:val="72B844D3"/>
    <w:rsid w:val="72CF5BB3"/>
    <w:rsid w:val="72E56902"/>
    <w:rsid w:val="73091F11"/>
    <w:rsid w:val="73117FA8"/>
    <w:rsid w:val="736142BB"/>
    <w:rsid w:val="73981534"/>
    <w:rsid w:val="73D11F92"/>
    <w:rsid w:val="73EE7862"/>
    <w:rsid w:val="73F463DF"/>
    <w:rsid w:val="73F75C90"/>
    <w:rsid w:val="73FE6191"/>
    <w:rsid w:val="740623E2"/>
    <w:rsid w:val="74063D7B"/>
    <w:rsid w:val="74316312"/>
    <w:rsid w:val="7451459A"/>
    <w:rsid w:val="745A117A"/>
    <w:rsid w:val="75223783"/>
    <w:rsid w:val="75300B52"/>
    <w:rsid w:val="75342930"/>
    <w:rsid w:val="75396B55"/>
    <w:rsid w:val="75A15EFB"/>
    <w:rsid w:val="75B86E09"/>
    <w:rsid w:val="75C14178"/>
    <w:rsid w:val="762F5542"/>
    <w:rsid w:val="76547061"/>
    <w:rsid w:val="76633F34"/>
    <w:rsid w:val="76670CF9"/>
    <w:rsid w:val="768B0430"/>
    <w:rsid w:val="7699266A"/>
    <w:rsid w:val="76A92F96"/>
    <w:rsid w:val="76A975CA"/>
    <w:rsid w:val="76A97B76"/>
    <w:rsid w:val="76F15AD0"/>
    <w:rsid w:val="76FC321D"/>
    <w:rsid w:val="76FD408F"/>
    <w:rsid w:val="77535974"/>
    <w:rsid w:val="775A4920"/>
    <w:rsid w:val="77724AD1"/>
    <w:rsid w:val="777B3C70"/>
    <w:rsid w:val="777E0D0B"/>
    <w:rsid w:val="77A45525"/>
    <w:rsid w:val="77B03877"/>
    <w:rsid w:val="77C347B2"/>
    <w:rsid w:val="77CD2343"/>
    <w:rsid w:val="77E33E0B"/>
    <w:rsid w:val="77ED44C7"/>
    <w:rsid w:val="77EF1B33"/>
    <w:rsid w:val="77F0695C"/>
    <w:rsid w:val="780F13C8"/>
    <w:rsid w:val="781B0E10"/>
    <w:rsid w:val="783116A8"/>
    <w:rsid w:val="78A64753"/>
    <w:rsid w:val="78E308E6"/>
    <w:rsid w:val="78E41BB2"/>
    <w:rsid w:val="78FB7B2D"/>
    <w:rsid w:val="79363B9C"/>
    <w:rsid w:val="795E1CAB"/>
    <w:rsid w:val="796C58DE"/>
    <w:rsid w:val="796C7723"/>
    <w:rsid w:val="797B6041"/>
    <w:rsid w:val="798706CD"/>
    <w:rsid w:val="79F212F4"/>
    <w:rsid w:val="79FA1B3E"/>
    <w:rsid w:val="7A6666B0"/>
    <w:rsid w:val="7A78224D"/>
    <w:rsid w:val="7A791A39"/>
    <w:rsid w:val="7A8C1F72"/>
    <w:rsid w:val="7A9F5E24"/>
    <w:rsid w:val="7AA36868"/>
    <w:rsid w:val="7AA63D37"/>
    <w:rsid w:val="7AAC2199"/>
    <w:rsid w:val="7AD856F0"/>
    <w:rsid w:val="7AE94F97"/>
    <w:rsid w:val="7B147652"/>
    <w:rsid w:val="7B15568F"/>
    <w:rsid w:val="7B227F69"/>
    <w:rsid w:val="7B305D8F"/>
    <w:rsid w:val="7B4F5636"/>
    <w:rsid w:val="7BAB2387"/>
    <w:rsid w:val="7C042CA1"/>
    <w:rsid w:val="7C266E26"/>
    <w:rsid w:val="7C276E27"/>
    <w:rsid w:val="7C2838FC"/>
    <w:rsid w:val="7C385448"/>
    <w:rsid w:val="7C5835DA"/>
    <w:rsid w:val="7C635CB1"/>
    <w:rsid w:val="7C685F5C"/>
    <w:rsid w:val="7C9A0E6D"/>
    <w:rsid w:val="7CB3663D"/>
    <w:rsid w:val="7CB62F58"/>
    <w:rsid w:val="7CEE337D"/>
    <w:rsid w:val="7D220D5B"/>
    <w:rsid w:val="7D27592E"/>
    <w:rsid w:val="7D2A1BB3"/>
    <w:rsid w:val="7D4D29F0"/>
    <w:rsid w:val="7D540882"/>
    <w:rsid w:val="7D6D7874"/>
    <w:rsid w:val="7D7C1880"/>
    <w:rsid w:val="7D835BA3"/>
    <w:rsid w:val="7D987618"/>
    <w:rsid w:val="7DCA4D96"/>
    <w:rsid w:val="7E127BB9"/>
    <w:rsid w:val="7E133488"/>
    <w:rsid w:val="7E7E5C9E"/>
    <w:rsid w:val="7E810220"/>
    <w:rsid w:val="7E8B787F"/>
    <w:rsid w:val="7E8E4DD4"/>
    <w:rsid w:val="7E9A2B15"/>
    <w:rsid w:val="7EB80504"/>
    <w:rsid w:val="7EBE5ECB"/>
    <w:rsid w:val="7EC60F44"/>
    <w:rsid w:val="7ECE0E29"/>
    <w:rsid w:val="7EDE0F62"/>
    <w:rsid w:val="7F235DCE"/>
    <w:rsid w:val="7F3A16E7"/>
    <w:rsid w:val="7F4A1A7B"/>
    <w:rsid w:val="7F5D0C01"/>
    <w:rsid w:val="7FBE44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1291</Words>
  <Characters>7363</Characters>
  <Lines>61</Lines>
  <Paragraphs>17</Paragraphs>
  <TotalTime>31</TotalTime>
  <ScaleCrop>false</ScaleCrop>
  <LinksUpToDate>false</LinksUpToDate>
  <CharactersWithSpaces>8637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Administrator</cp:lastModifiedBy>
  <dcterms:modified xsi:type="dcterms:W3CDTF">2021-09-13T06:15:25Z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